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2D" w:rsidRDefault="0006782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6782D" w:rsidRDefault="0006782D">
      <w:pPr>
        <w:pStyle w:val="ConsPlusNormal"/>
        <w:outlineLvl w:val="0"/>
      </w:pPr>
    </w:p>
    <w:p w:rsidR="0006782D" w:rsidRDefault="0006782D">
      <w:pPr>
        <w:pStyle w:val="ConsPlusTitle"/>
        <w:jc w:val="center"/>
        <w:outlineLvl w:val="0"/>
      </w:pPr>
      <w:r>
        <w:t>СЛУЖБА ПО ТАРИФАМ АСТРАХАНСКОЙ ОБЛАСТИ</w:t>
      </w:r>
    </w:p>
    <w:p w:rsidR="0006782D" w:rsidRDefault="0006782D">
      <w:pPr>
        <w:pStyle w:val="ConsPlusTitle"/>
        <w:jc w:val="center"/>
      </w:pPr>
    </w:p>
    <w:p w:rsidR="0006782D" w:rsidRDefault="0006782D">
      <w:pPr>
        <w:pStyle w:val="ConsPlusTitle"/>
        <w:jc w:val="center"/>
      </w:pPr>
      <w:r>
        <w:t>ПОСТАНОВЛЕНИЕ</w:t>
      </w:r>
    </w:p>
    <w:p w:rsidR="0006782D" w:rsidRDefault="0006782D">
      <w:pPr>
        <w:pStyle w:val="ConsPlusTitle"/>
        <w:jc w:val="center"/>
      </w:pPr>
      <w:r>
        <w:t>от 15 ноября 2016 г. N 100</w:t>
      </w:r>
    </w:p>
    <w:p w:rsidR="0006782D" w:rsidRDefault="0006782D">
      <w:pPr>
        <w:pStyle w:val="ConsPlusTitle"/>
        <w:jc w:val="center"/>
      </w:pPr>
    </w:p>
    <w:p w:rsidR="0006782D" w:rsidRDefault="0006782D">
      <w:pPr>
        <w:pStyle w:val="ConsPlusTitle"/>
        <w:jc w:val="center"/>
      </w:pPr>
      <w:r>
        <w:t xml:space="preserve">О ПЛАТЕ ЗА ТЕХНОЛОГИЧЕСКОЕ ПРИСОЕДИНЕНИЕ </w:t>
      </w:r>
      <w:proofErr w:type="gramStart"/>
      <w:r>
        <w:t>ГАЗОИСПОЛЬЗУЮЩЕГО</w:t>
      </w:r>
      <w:proofErr w:type="gramEnd"/>
    </w:p>
    <w:p w:rsidR="0006782D" w:rsidRDefault="0006782D">
      <w:pPr>
        <w:pStyle w:val="ConsPlusTitle"/>
        <w:jc w:val="center"/>
      </w:pPr>
      <w:r>
        <w:t xml:space="preserve">ОБОРУДОВАНИЯ И СТАНДАРТИЗИРОВАННЫХ ТАРИФНЫХ </w:t>
      </w:r>
      <w:proofErr w:type="gramStart"/>
      <w:r>
        <w:t>СТАВКАХ</w:t>
      </w:r>
      <w:proofErr w:type="gramEnd"/>
      <w:r>
        <w:t>,</w:t>
      </w:r>
    </w:p>
    <w:p w:rsidR="0006782D" w:rsidRDefault="0006782D">
      <w:pPr>
        <w:pStyle w:val="ConsPlusTitle"/>
        <w:jc w:val="center"/>
      </w:pPr>
      <w:proofErr w:type="gramStart"/>
      <w:r>
        <w:t>ИСПОЛЬЗУЕМЫХ</w:t>
      </w:r>
      <w:proofErr w:type="gramEnd"/>
      <w:r>
        <w:t xml:space="preserve"> ДЛЯ ОПРЕДЕЛЕНИЯ ВЕЛИЧИНЫ ПЛАТЫ</w:t>
      </w:r>
    </w:p>
    <w:p w:rsidR="0006782D" w:rsidRDefault="0006782D">
      <w:pPr>
        <w:pStyle w:val="ConsPlusTitle"/>
        <w:jc w:val="center"/>
      </w:pPr>
      <w:r>
        <w:t xml:space="preserve">ЗА ТЕХНОЛОГИЧЕСКОЕ ПРИСОЕДИНЕНИЕ К </w:t>
      </w:r>
      <w:proofErr w:type="gramStart"/>
      <w:r>
        <w:t>ГАЗОРАСПРЕДЕЛИТЕЛЬНЫМ</w:t>
      </w:r>
      <w:proofErr w:type="gramEnd"/>
    </w:p>
    <w:p w:rsidR="0006782D" w:rsidRDefault="0006782D">
      <w:pPr>
        <w:pStyle w:val="ConsPlusTitle"/>
        <w:jc w:val="center"/>
      </w:pPr>
      <w:r>
        <w:t>СЕТЯМ АО "ГАЗПРОМ ГАЗОРАСПРЕДЕЛЕНИЕ" (ОГРН 1047855099170),</w:t>
      </w:r>
    </w:p>
    <w:p w:rsidR="0006782D" w:rsidRDefault="0006782D">
      <w:pPr>
        <w:pStyle w:val="ConsPlusTitle"/>
        <w:jc w:val="center"/>
      </w:pPr>
      <w:proofErr w:type="gramStart"/>
      <w:r>
        <w:t>РАСПОЛОЖЕННЫМ</w:t>
      </w:r>
      <w:proofErr w:type="gramEnd"/>
      <w:r>
        <w:t xml:space="preserve"> НА ТЕРРИТОРИИ АСТРАХАНСКОЙ ОБЛАСТИ,</w:t>
      </w:r>
    </w:p>
    <w:p w:rsidR="0006782D" w:rsidRDefault="0006782D">
      <w:pPr>
        <w:pStyle w:val="ConsPlusTitle"/>
        <w:jc w:val="center"/>
      </w:pPr>
      <w:r>
        <w:t>НА 2017 ГОД</w:t>
      </w:r>
    </w:p>
    <w:p w:rsidR="0006782D" w:rsidRDefault="0006782D">
      <w:pPr>
        <w:pStyle w:val="ConsPlusNormal"/>
        <w:jc w:val="center"/>
      </w:pPr>
    </w:p>
    <w:p w:rsidR="0006782D" w:rsidRDefault="0006782D">
      <w:pPr>
        <w:pStyle w:val="ConsPlusNormal"/>
        <w:jc w:val="center"/>
      </w:pPr>
      <w:r>
        <w:t>Список изменяющих документов</w:t>
      </w:r>
    </w:p>
    <w:p w:rsidR="0006782D" w:rsidRDefault="0006782D">
      <w:pPr>
        <w:pStyle w:val="ConsPlusNormal"/>
        <w:jc w:val="center"/>
      </w:pPr>
      <w:proofErr w:type="gramStart"/>
      <w:r>
        <w:t xml:space="preserve">(в ред. </w:t>
      </w:r>
      <w:hyperlink r:id="rId6" w:history="1">
        <w:r>
          <w:rPr>
            <w:color w:val="0000FF"/>
          </w:rPr>
          <w:t>Постановления</w:t>
        </w:r>
      </w:hyperlink>
      <w:r>
        <w:t xml:space="preserve"> службы по тарифам Астраханской области</w:t>
      </w:r>
      <w:proofErr w:type="gramEnd"/>
    </w:p>
    <w:p w:rsidR="0006782D" w:rsidRDefault="0006782D">
      <w:pPr>
        <w:pStyle w:val="ConsPlusNormal"/>
        <w:jc w:val="center"/>
      </w:pPr>
      <w:r>
        <w:t>от 27.12.2016 N 225)</w:t>
      </w:r>
    </w:p>
    <w:p w:rsidR="0006782D" w:rsidRDefault="0006782D">
      <w:pPr>
        <w:pStyle w:val="ConsPlusNormal"/>
        <w:jc w:val="center"/>
      </w:pPr>
    </w:p>
    <w:p w:rsidR="0006782D" w:rsidRDefault="0006782D">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31.03.99 N 69-ФЗ "О газоснабжении в Российской Федерации", Постановлениями Правительства Российской Федерации от 29.12.2000 </w:t>
      </w:r>
      <w:hyperlink r:id="rId8" w:history="1">
        <w:r>
          <w:rPr>
            <w:color w:val="0000FF"/>
          </w:rPr>
          <w:t>N 1021</w:t>
        </w:r>
      </w:hyperlink>
      <w:r>
        <w:t xml:space="preserve">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от 30.12.2013 </w:t>
      </w:r>
      <w:hyperlink r:id="rId9" w:history="1">
        <w:r>
          <w:rPr>
            <w:color w:val="0000FF"/>
          </w:rPr>
          <w:t>N 1314</w:t>
        </w:r>
      </w:hyperlink>
      <w:r>
        <w:t xml:space="preserve"> "Об утверждении Правил подключения (технологического присоединения) объектов</w:t>
      </w:r>
      <w:proofErr w:type="gramEnd"/>
      <w:r>
        <w:t xml:space="preserve"> капитального строительства к сетям газораспределения, а также об изменении и признании </w:t>
      </w:r>
      <w:proofErr w:type="gramStart"/>
      <w:r>
        <w:t>утратившими</w:t>
      </w:r>
      <w:proofErr w:type="gramEnd"/>
      <w:r>
        <w:t xml:space="preserve"> силу некоторых актов Правительства Российской Федерации", </w:t>
      </w:r>
      <w:hyperlink r:id="rId10" w:history="1">
        <w:r>
          <w:rPr>
            <w:color w:val="0000FF"/>
          </w:rPr>
          <w:t>Постановлением</w:t>
        </w:r>
      </w:hyperlink>
      <w:r>
        <w:t xml:space="preserve"> Правительства Астраханской области от 06.04.2005 N 49-П "О службе по тарифам Астраханской области", протоколом заседания коллегии службы по тарифам Астраханской области от 15.11.2016 N 182 служба по тарифам Астраханской области постановляет:</w:t>
      </w:r>
    </w:p>
    <w:p w:rsidR="0006782D" w:rsidRDefault="0006782D">
      <w:pPr>
        <w:pStyle w:val="ConsPlusNormal"/>
        <w:ind w:firstLine="540"/>
        <w:jc w:val="both"/>
      </w:pPr>
      <w:r>
        <w:t>1. Утвердить плату за технологическое присоединение газоиспользующего оборудования к газораспределительным сетям АО "Газпром газораспределение" (ОГРН 1047855099170), расположенным на территории Астраханской области, на 2017 год:</w:t>
      </w:r>
    </w:p>
    <w:p w:rsidR="0006782D" w:rsidRDefault="0006782D">
      <w:pPr>
        <w:pStyle w:val="ConsPlusNormal"/>
        <w:ind w:firstLine="540"/>
        <w:jc w:val="both"/>
      </w:pPr>
      <w:proofErr w:type="gramStart"/>
      <w:r>
        <w:t>-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деятельности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w:t>
      </w:r>
      <w:proofErr w:type="gramEnd"/>
      <w:r>
        <w:t xml:space="preserve"> МПа, измеряемое по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23996,36 рубля с учетом НДС;</w:t>
      </w:r>
    </w:p>
    <w:p w:rsidR="0006782D" w:rsidRDefault="0006782D">
      <w:pPr>
        <w:pStyle w:val="ConsPlusNormal"/>
        <w:ind w:firstLine="540"/>
        <w:jc w:val="both"/>
      </w:pPr>
      <w:proofErr w:type="gramStart"/>
      <w:r>
        <w:t>-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w:t>
      </w:r>
      <w:proofErr w:type="gramEnd"/>
      <w:r>
        <w:t xml:space="preserve"> прямой линии,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50839,74 рубля без учета НДС (59990,9 рубля с учетом НДС).</w:t>
      </w:r>
    </w:p>
    <w:p w:rsidR="0006782D" w:rsidRDefault="0006782D">
      <w:pPr>
        <w:pStyle w:val="ConsPlusNormal"/>
        <w:ind w:firstLine="540"/>
        <w:jc w:val="both"/>
      </w:pPr>
      <w:r>
        <w:t>2. Определить экономически обоснованную плату за технологическое присоединение газоиспользующего оборудования к газораспределительным сетям АО "Газпром газораспределение" (ОГРН 1047855099170), расположенным на территории Астраханской области, в 2017 году 373276,58 рубля без учета НДС (440466,36 рублей с учетом НДС).</w:t>
      </w:r>
    </w:p>
    <w:p w:rsidR="0006782D" w:rsidRDefault="0006782D">
      <w:pPr>
        <w:pStyle w:val="ConsPlusNormal"/>
        <w:ind w:firstLine="540"/>
        <w:jc w:val="both"/>
      </w:pPr>
      <w:r>
        <w:lastRenderedPageBreak/>
        <w:t>3. Определить плановые выпадающие доходы АО "Газпром газораспределение" (ОГРН 1047855099170), связанные с технологическим присоединением газоиспользующего оборудования, в размере 81065,548 тыс. рублей без учета НДС (95657,346 тыс. рублей с учетом НДС).</w:t>
      </w:r>
    </w:p>
    <w:p w:rsidR="0006782D" w:rsidRDefault="0006782D">
      <w:pPr>
        <w:pStyle w:val="ConsPlusNormal"/>
        <w:ind w:firstLine="540"/>
        <w:jc w:val="both"/>
      </w:pPr>
      <w:r>
        <w:t xml:space="preserve">4. </w:t>
      </w:r>
      <w:proofErr w:type="gramStart"/>
      <w:r>
        <w:t xml:space="preserve">Утвердить стандартизированные тарифные </w:t>
      </w:r>
      <w:hyperlink w:anchor="P52" w:history="1">
        <w:r>
          <w:rPr>
            <w:color w:val="0000FF"/>
          </w:rPr>
          <w:t>ставки</w:t>
        </w:r>
      </w:hyperlink>
      <w:r>
        <w:t>, используемые для определения величины платы за технологическое присоединение, для случаев технологического присоединения газоиспользующего оборудования к газораспределительным сетям АО "Газпром газораспределение" (ОГРН 1047855099170), расположенным на территории Астраханской области, с максимальным расходом газа 500 куб. метров газа в час и менее и (или) проектным рабочим давлением в присоединяемом газопроводе 0.6 МПа и менее на 2017 год согласно приложению</w:t>
      </w:r>
      <w:proofErr w:type="gramEnd"/>
      <w:r>
        <w:t xml:space="preserve"> к настоящему Постановлению.</w:t>
      </w:r>
    </w:p>
    <w:p w:rsidR="0006782D" w:rsidRDefault="0006782D">
      <w:pPr>
        <w:pStyle w:val="ConsPlusNormal"/>
        <w:jc w:val="both"/>
      </w:pPr>
      <w:r>
        <w:t xml:space="preserve">(абзац введен </w:t>
      </w:r>
      <w:hyperlink r:id="rId11" w:history="1">
        <w:r>
          <w:rPr>
            <w:color w:val="0000FF"/>
          </w:rPr>
          <w:t>Постановлением</w:t>
        </w:r>
      </w:hyperlink>
      <w:r>
        <w:t xml:space="preserve"> службы по тарифам Астраханской области от 27.12.2016 N 225)</w:t>
      </w:r>
    </w:p>
    <w:p w:rsidR="0006782D" w:rsidRDefault="0006782D">
      <w:pPr>
        <w:pStyle w:val="ConsPlusNormal"/>
        <w:ind w:firstLine="540"/>
        <w:jc w:val="both"/>
      </w:pPr>
      <w:hyperlink r:id="rId12" w:history="1">
        <w:r>
          <w:rPr>
            <w:color w:val="0000FF"/>
          </w:rPr>
          <w:t>5</w:t>
        </w:r>
      </w:hyperlink>
      <w:r>
        <w:t>. Признать утратившими силу Постановления службы по тарифам Астраханской области:</w:t>
      </w:r>
    </w:p>
    <w:p w:rsidR="0006782D" w:rsidRDefault="0006782D">
      <w:pPr>
        <w:pStyle w:val="ConsPlusNormal"/>
        <w:ind w:firstLine="540"/>
        <w:jc w:val="both"/>
      </w:pPr>
      <w:r>
        <w:t xml:space="preserve">- от 13.11.2015 </w:t>
      </w:r>
      <w:hyperlink r:id="rId13" w:history="1">
        <w:r>
          <w:rPr>
            <w:color w:val="0000FF"/>
          </w:rPr>
          <w:t>N 107</w:t>
        </w:r>
      </w:hyperlink>
      <w:r>
        <w:t xml:space="preserve"> "О плате за технологическое присоединение газоиспользующего оборудования и стандартизированных тарифных ставках, используемых для определения величины платы за технологическое присоединение к газораспределительным сетям ОАО "Газпром газораспределение" (ОГРН 1047855099170), расположенным на территории Астраханской области, на 2016 год";</w:t>
      </w:r>
    </w:p>
    <w:p w:rsidR="0006782D" w:rsidRDefault="0006782D">
      <w:pPr>
        <w:pStyle w:val="ConsPlusNormal"/>
        <w:ind w:firstLine="540"/>
        <w:jc w:val="both"/>
      </w:pPr>
      <w:r>
        <w:t xml:space="preserve">- от 13.04.2016 </w:t>
      </w:r>
      <w:hyperlink r:id="rId14" w:history="1">
        <w:r>
          <w:rPr>
            <w:color w:val="0000FF"/>
          </w:rPr>
          <w:t>N 21</w:t>
        </w:r>
      </w:hyperlink>
      <w:r>
        <w:t xml:space="preserve"> "О внесении изменения в постановление службы по тарифам Астраханской области от 13.11.2015 N 107".</w:t>
      </w:r>
    </w:p>
    <w:p w:rsidR="0006782D" w:rsidRDefault="0006782D">
      <w:pPr>
        <w:pStyle w:val="ConsPlusNormal"/>
        <w:ind w:firstLine="540"/>
        <w:jc w:val="both"/>
      </w:pPr>
      <w:hyperlink r:id="rId15" w:history="1">
        <w:r>
          <w:rPr>
            <w:color w:val="0000FF"/>
          </w:rPr>
          <w:t>6</w:t>
        </w:r>
      </w:hyperlink>
      <w:r>
        <w:t>. Начальнику отдела контроля и регулирования тарифов (цен) в сфере электроэнергетики и газоснабжения службы по тарифам Астраханской области (</w:t>
      </w:r>
      <w:proofErr w:type="spellStart"/>
      <w:r>
        <w:t>Турасова</w:t>
      </w:r>
      <w:proofErr w:type="spellEnd"/>
      <w:r>
        <w:t xml:space="preserve"> Л.А.):</w:t>
      </w:r>
    </w:p>
    <w:p w:rsidR="0006782D" w:rsidRDefault="0006782D">
      <w:pPr>
        <w:pStyle w:val="ConsPlusNormal"/>
        <w:ind w:firstLine="540"/>
        <w:jc w:val="both"/>
      </w:pPr>
      <w:hyperlink r:id="rId16" w:history="1">
        <w:proofErr w:type="gramStart"/>
        <w:r>
          <w:rPr>
            <w:color w:val="0000FF"/>
          </w:rPr>
          <w:t>6.1</w:t>
        </w:r>
      </w:hyperlink>
      <w:r>
        <w:t>.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 в том числе на официальном интернет-портале правовой информации органов государственной власти Астраханской области (http://pravo-astrobl.ru/).</w:t>
      </w:r>
      <w:proofErr w:type="gramEnd"/>
    </w:p>
    <w:p w:rsidR="0006782D" w:rsidRDefault="0006782D">
      <w:pPr>
        <w:pStyle w:val="ConsPlusNormal"/>
        <w:ind w:firstLine="540"/>
        <w:jc w:val="both"/>
      </w:pPr>
      <w:hyperlink r:id="rId17" w:history="1">
        <w:r>
          <w:rPr>
            <w:color w:val="0000FF"/>
          </w:rPr>
          <w:t>6.2</w:t>
        </w:r>
      </w:hyperlink>
      <w:r>
        <w:t>. В срок не позднее семи рабочих дней со дня подписания направить копию настоящего Постановления в прокуратуру Астраханской области.</w:t>
      </w:r>
    </w:p>
    <w:p w:rsidR="0006782D" w:rsidRDefault="0006782D">
      <w:pPr>
        <w:pStyle w:val="ConsPlusNormal"/>
        <w:ind w:firstLine="540"/>
        <w:jc w:val="both"/>
      </w:pPr>
      <w:hyperlink r:id="rId18" w:history="1">
        <w:r>
          <w:rPr>
            <w:color w:val="0000FF"/>
          </w:rPr>
          <w:t>6.3</w:t>
        </w:r>
      </w:hyperlink>
      <w:r>
        <w:t>.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w:t>
      </w:r>
    </w:p>
    <w:p w:rsidR="0006782D" w:rsidRDefault="0006782D">
      <w:pPr>
        <w:pStyle w:val="ConsPlusNormal"/>
        <w:ind w:firstLine="540"/>
        <w:jc w:val="both"/>
      </w:pPr>
      <w:hyperlink r:id="rId19" w:history="1">
        <w:r>
          <w:rPr>
            <w:color w:val="0000FF"/>
          </w:rPr>
          <w:t>6.4</w:t>
        </w:r>
      </w:hyperlink>
      <w:r>
        <w:t>. В семидневный срок со дня принятия направить копию настоящего Постановления в Федеральную антимонопольную службу.</w:t>
      </w:r>
    </w:p>
    <w:p w:rsidR="0006782D" w:rsidRDefault="0006782D">
      <w:pPr>
        <w:pStyle w:val="ConsPlusNormal"/>
        <w:ind w:firstLine="540"/>
        <w:jc w:val="both"/>
      </w:pPr>
      <w:hyperlink r:id="rId20" w:history="1">
        <w:r>
          <w:rPr>
            <w:color w:val="0000FF"/>
          </w:rPr>
          <w:t>6.5</w:t>
        </w:r>
      </w:hyperlink>
      <w:r>
        <w:t>. В пятидневный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15.11.2016 N 182 в АО "Газпром газораспределение" (ОГРН 1047855099170).</w:t>
      </w:r>
    </w:p>
    <w:p w:rsidR="0006782D" w:rsidRDefault="0006782D">
      <w:pPr>
        <w:pStyle w:val="ConsPlusNormal"/>
        <w:ind w:firstLine="540"/>
        <w:jc w:val="both"/>
      </w:pPr>
      <w:hyperlink r:id="rId21" w:history="1">
        <w:r>
          <w:rPr>
            <w:color w:val="0000FF"/>
          </w:rPr>
          <w:t>6.6</w:t>
        </w:r>
      </w:hyperlink>
      <w:r>
        <w:t xml:space="preserve">. В семидневный срок со дня принятия </w:t>
      </w:r>
      <w:proofErr w:type="gramStart"/>
      <w:r>
        <w:t>разместить</w:t>
      </w:r>
      <w:proofErr w:type="gramEnd"/>
      <w:r>
        <w:t xml:space="preserve"> настоящее Постановление на официальном сайте службы по тарифам Астраханской области в информационно-телекоммуникационной сети "Интернет" (http://astrtarif.ru/).</w:t>
      </w:r>
    </w:p>
    <w:p w:rsidR="0006782D" w:rsidRDefault="0006782D">
      <w:pPr>
        <w:pStyle w:val="ConsPlusNormal"/>
        <w:ind w:firstLine="540"/>
        <w:jc w:val="both"/>
      </w:pPr>
      <w:hyperlink r:id="rId22" w:history="1">
        <w:r>
          <w:rPr>
            <w:color w:val="0000FF"/>
          </w:rPr>
          <w:t>6.7</w:t>
        </w:r>
      </w:hyperlink>
      <w:r>
        <w:t>. В срок не позднее семи рабочих дней со дня подписания обеспечить включение настоящего Постановления в справочно-правовые системы "</w:t>
      </w:r>
      <w:proofErr w:type="spellStart"/>
      <w:r>
        <w:t>КонсультантПлюс</w:t>
      </w:r>
      <w:proofErr w:type="spellEnd"/>
      <w:r>
        <w:t>" ООО "</w:t>
      </w:r>
      <w:proofErr w:type="spellStart"/>
      <w:r>
        <w:t>РентаСервис</w:t>
      </w:r>
      <w:proofErr w:type="spellEnd"/>
      <w:r>
        <w:t>" и "Гарант" ООО "Астрахань-Гарант-Сервис".</w:t>
      </w:r>
    </w:p>
    <w:p w:rsidR="0006782D" w:rsidRDefault="0006782D">
      <w:pPr>
        <w:pStyle w:val="ConsPlusNormal"/>
        <w:ind w:firstLine="540"/>
        <w:jc w:val="both"/>
      </w:pPr>
      <w:hyperlink r:id="rId23" w:history="1">
        <w:r>
          <w:rPr>
            <w:color w:val="0000FF"/>
          </w:rPr>
          <w:t>7</w:t>
        </w:r>
      </w:hyperlink>
      <w:r>
        <w:t>. Постановление вступает в силу с 01.01.2017.</w:t>
      </w:r>
    </w:p>
    <w:p w:rsidR="0006782D" w:rsidRDefault="0006782D">
      <w:pPr>
        <w:pStyle w:val="ConsPlusNormal"/>
        <w:ind w:firstLine="540"/>
        <w:jc w:val="both"/>
      </w:pPr>
    </w:p>
    <w:p w:rsidR="0006782D" w:rsidRDefault="0006782D">
      <w:pPr>
        <w:pStyle w:val="ConsPlusNormal"/>
        <w:jc w:val="right"/>
      </w:pPr>
      <w:r>
        <w:t>Руководитель</w:t>
      </w:r>
    </w:p>
    <w:p w:rsidR="0006782D" w:rsidRDefault="0006782D">
      <w:pPr>
        <w:pStyle w:val="ConsPlusNormal"/>
        <w:jc w:val="right"/>
      </w:pPr>
      <w:r>
        <w:t>О.Г.ЗВЕРЕВА</w:t>
      </w:r>
    </w:p>
    <w:p w:rsidR="0006782D" w:rsidRDefault="0006782D">
      <w:pPr>
        <w:pStyle w:val="ConsPlusNormal"/>
        <w:jc w:val="both"/>
      </w:pPr>
    </w:p>
    <w:p w:rsidR="0006782D" w:rsidRDefault="0006782D">
      <w:pPr>
        <w:pStyle w:val="ConsPlusNormal"/>
        <w:jc w:val="both"/>
      </w:pPr>
    </w:p>
    <w:p w:rsidR="0006782D" w:rsidRDefault="0006782D">
      <w:pPr>
        <w:pStyle w:val="ConsPlusNormal"/>
        <w:jc w:val="both"/>
      </w:pPr>
    </w:p>
    <w:p w:rsidR="0006782D" w:rsidRDefault="0006782D">
      <w:pPr>
        <w:pStyle w:val="ConsPlusNormal"/>
        <w:jc w:val="both"/>
      </w:pPr>
    </w:p>
    <w:p w:rsidR="0006782D" w:rsidRDefault="0006782D">
      <w:pPr>
        <w:pStyle w:val="ConsPlusNormal"/>
        <w:jc w:val="both"/>
      </w:pPr>
    </w:p>
    <w:p w:rsidR="0006782D" w:rsidRDefault="0006782D">
      <w:pPr>
        <w:pStyle w:val="ConsPlusNormal"/>
        <w:jc w:val="right"/>
        <w:outlineLvl w:val="0"/>
      </w:pPr>
    </w:p>
    <w:p w:rsidR="0006782D" w:rsidRDefault="0006782D">
      <w:pPr>
        <w:pStyle w:val="ConsPlusNormal"/>
        <w:jc w:val="right"/>
        <w:outlineLvl w:val="0"/>
      </w:pPr>
    </w:p>
    <w:p w:rsidR="0006782D" w:rsidRDefault="0006782D">
      <w:pPr>
        <w:pStyle w:val="ConsPlusNormal"/>
        <w:jc w:val="right"/>
        <w:outlineLvl w:val="0"/>
      </w:pPr>
    </w:p>
    <w:p w:rsidR="0006782D" w:rsidRDefault="0006782D">
      <w:pPr>
        <w:pStyle w:val="ConsPlusNormal"/>
        <w:jc w:val="right"/>
        <w:outlineLvl w:val="0"/>
      </w:pPr>
    </w:p>
    <w:p w:rsidR="0006782D" w:rsidRDefault="0006782D">
      <w:pPr>
        <w:pStyle w:val="ConsPlusNormal"/>
        <w:jc w:val="right"/>
        <w:outlineLvl w:val="0"/>
      </w:pPr>
    </w:p>
    <w:p w:rsidR="0006782D" w:rsidRDefault="0006782D">
      <w:pPr>
        <w:pStyle w:val="ConsPlusNormal"/>
        <w:jc w:val="right"/>
        <w:outlineLvl w:val="0"/>
      </w:pPr>
    </w:p>
    <w:p w:rsidR="0006782D" w:rsidRDefault="0006782D">
      <w:pPr>
        <w:pStyle w:val="ConsPlusNormal"/>
        <w:jc w:val="right"/>
        <w:outlineLvl w:val="0"/>
      </w:pPr>
    </w:p>
    <w:p w:rsidR="0006782D" w:rsidRDefault="0006782D">
      <w:pPr>
        <w:pStyle w:val="ConsPlusNormal"/>
        <w:jc w:val="right"/>
        <w:outlineLvl w:val="0"/>
      </w:pPr>
      <w:r>
        <w:lastRenderedPageBreak/>
        <w:t>Приложение</w:t>
      </w:r>
    </w:p>
    <w:p w:rsidR="0006782D" w:rsidRDefault="0006782D">
      <w:pPr>
        <w:pStyle w:val="ConsPlusNormal"/>
        <w:jc w:val="right"/>
      </w:pPr>
      <w:r>
        <w:t>к Постановлению</w:t>
      </w:r>
    </w:p>
    <w:p w:rsidR="0006782D" w:rsidRDefault="0006782D">
      <w:pPr>
        <w:pStyle w:val="ConsPlusNormal"/>
        <w:jc w:val="right"/>
      </w:pPr>
      <w:r>
        <w:t>службы по тарифам</w:t>
      </w:r>
    </w:p>
    <w:p w:rsidR="0006782D" w:rsidRDefault="0006782D">
      <w:pPr>
        <w:pStyle w:val="ConsPlusNormal"/>
        <w:jc w:val="right"/>
      </w:pPr>
      <w:r>
        <w:t>Астраханской области</w:t>
      </w:r>
    </w:p>
    <w:p w:rsidR="0006782D" w:rsidRDefault="0006782D">
      <w:pPr>
        <w:pStyle w:val="ConsPlusNormal"/>
        <w:jc w:val="right"/>
      </w:pPr>
      <w:r>
        <w:t>от 15 ноября 2016 г. N 100</w:t>
      </w:r>
    </w:p>
    <w:p w:rsidR="0006782D" w:rsidRDefault="0006782D">
      <w:pPr>
        <w:pStyle w:val="ConsPlusNormal"/>
        <w:jc w:val="center"/>
      </w:pPr>
    </w:p>
    <w:p w:rsidR="0006782D" w:rsidRDefault="0006782D">
      <w:pPr>
        <w:pStyle w:val="ConsPlusNormal"/>
        <w:jc w:val="center"/>
      </w:pPr>
      <w:bookmarkStart w:id="1" w:name="P52"/>
      <w:bookmarkEnd w:id="1"/>
      <w:r>
        <w:t>СТАНДАРТИЗИРОВАННЫЕ ТАРИФНЫЕ СТАВКИ, ИСПОЛЬЗУЕМЫЕ</w:t>
      </w:r>
    </w:p>
    <w:p w:rsidR="0006782D" w:rsidRDefault="0006782D">
      <w:pPr>
        <w:pStyle w:val="ConsPlusNormal"/>
        <w:jc w:val="center"/>
      </w:pPr>
      <w:r>
        <w:t xml:space="preserve">ДЛЯ ОПРЕДЕЛЕНИЯ ВЕЛИЧИНЫ ПЛАТЫ ЗА </w:t>
      </w:r>
      <w:proofErr w:type="gramStart"/>
      <w:r>
        <w:t>ТЕХНОЛОГИЧЕСКОЕ</w:t>
      </w:r>
      <w:proofErr w:type="gramEnd"/>
    </w:p>
    <w:p w:rsidR="0006782D" w:rsidRDefault="0006782D">
      <w:pPr>
        <w:pStyle w:val="ConsPlusNormal"/>
        <w:jc w:val="center"/>
      </w:pPr>
      <w:r>
        <w:t>ПРИСОЕДИНЕНИЕ, ДЛЯ СЛУЧАЕВ ТЕХНОЛОГИЧЕСКОГО ПРИСОЕДИНЕНИЯ</w:t>
      </w:r>
    </w:p>
    <w:p w:rsidR="0006782D" w:rsidRDefault="0006782D">
      <w:pPr>
        <w:pStyle w:val="ConsPlusNormal"/>
        <w:jc w:val="center"/>
      </w:pPr>
      <w:r>
        <w:t>ГАЗОИСПОЛЬЗУЮЩЕГО ОБОРУДОВАНИЯ К ГАЗОРАСПРЕДЕЛИТЕЛЬНЫМ СЕТЯМ</w:t>
      </w:r>
    </w:p>
    <w:p w:rsidR="0006782D" w:rsidRDefault="0006782D">
      <w:pPr>
        <w:pStyle w:val="ConsPlusNormal"/>
        <w:jc w:val="center"/>
      </w:pPr>
      <w:r>
        <w:t>АО "ГАЗПРОМ ГАЗОРАСПРЕДЕЛЕНИЕ" (ОГРН 1047855099170),</w:t>
      </w:r>
    </w:p>
    <w:p w:rsidR="0006782D" w:rsidRDefault="0006782D">
      <w:pPr>
        <w:pStyle w:val="ConsPlusNormal"/>
        <w:jc w:val="center"/>
      </w:pPr>
      <w:proofErr w:type="gramStart"/>
      <w:r>
        <w:t>РАСПОЛОЖЕННЫМ</w:t>
      </w:r>
      <w:proofErr w:type="gramEnd"/>
      <w:r>
        <w:t xml:space="preserve"> НА ТЕРРИТОРИИ АСТРАХАНСКОЙ ОБЛАСТИ,</w:t>
      </w:r>
    </w:p>
    <w:p w:rsidR="0006782D" w:rsidRDefault="0006782D">
      <w:pPr>
        <w:pStyle w:val="ConsPlusNormal"/>
        <w:jc w:val="center"/>
      </w:pPr>
      <w:r>
        <w:t>С МАКСИМАЛЬНЫМ РАСХОДОМ ГАЗА 500 КУБ. МЕТРОВ ГАЗА В ЧАС</w:t>
      </w:r>
    </w:p>
    <w:p w:rsidR="0006782D" w:rsidRDefault="0006782D">
      <w:pPr>
        <w:pStyle w:val="ConsPlusNormal"/>
        <w:jc w:val="center"/>
      </w:pPr>
      <w:r>
        <w:t xml:space="preserve">И МЕНЕЕ И (ИЛИ) ПРОЕКТНЫМ РАБОЧИМ ДАВЛЕНИЕМ В </w:t>
      </w:r>
      <w:proofErr w:type="gramStart"/>
      <w:r>
        <w:t>ПРИСОЕДИНЯЕМОМ</w:t>
      </w:r>
      <w:proofErr w:type="gramEnd"/>
    </w:p>
    <w:p w:rsidR="0006782D" w:rsidRDefault="0006782D">
      <w:pPr>
        <w:pStyle w:val="ConsPlusNormal"/>
        <w:jc w:val="center"/>
      </w:pPr>
      <w:proofErr w:type="gramStart"/>
      <w:r>
        <w:t>ГАЗОПРОВОДЕ</w:t>
      </w:r>
      <w:proofErr w:type="gramEnd"/>
      <w:r>
        <w:t xml:space="preserve"> 0,6 МПА И МЕНЕЕ НА 2017 ГОД</w:t>
      </w:r>
    </w:p>
    <w:p w:rsidR="0006782D" w:rsidRDefault="0006782D">
      <w:pPr>
        <w:pStyle w:val="ConsPlusNormal"/>
        <w:jc w:val="center"/>
      </w:pPr>
      <w:proofErr w:type="gramStart"/>
      <w:r>
        <w:t xml:space="preserve">(введены </w:t>
      </w:r>
      <w:hyperlink r:id="rId24" w:history="1">
        <w:r>
          <w:rPr>
            <w:color w:val="0000FF"/>
          </w:rPr>
          <w:t>Постановлением</w:t>
        </w:r>
      </w:hyperlink>
      <w:r>
        <w:t xml:space="preserve"> службы по тарифам Астраханской области</w:t>
      </w:r>
      <w:proofErr w:type="gramEnd"/>
    </w:p>
    <w:p w:rsidR="0006782D" w:rsidRDefault="0006782D">
      <w:pPr>
        <w:pStyle w:val="ConsPlusNormal"/>
        <w:jc w:val="center"/>
      </w:pPr>
      <w:r>
        <w:t>от 27.12.2016 N 225)</w:t>
      </w:r>
    </w:p>
    <w:p w:rsidR="0006782D" w:rsidRDefault="0006782D">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046"/>
        <w:gridCol w:w="1701"/>
        <w:gridCol w:w="1361"/>
      </w:tblGrid>
      <w:tr w:rsidR="0006782D" w:rsidTr="0006782D">
        <w:trPr>
          <w:jc w:val="center"/>
        </w:trPr>
        <w:tc>
          <w:tcPr>
            <w:tcW w:w="907" w:type="dxa"/>
            <w:vAlign w:val="center"/>
          </w:tcPr>
          <w:p w:rsidR="0006782D" w:rsidRDefault="0006782D">
            <w:pPr>
              <w:pStyle w:val="ConsPlusNormal"/>
              <w:jc w:val="center"/>
            </w:pPr>
            <w:r>
              <w:t xml:space="preserve">N </w:t>
            </w:r>
            <w:proofErr w:type="gramStart"/>
            <w:r>
              <w:t>п</w:t>
            </w:r>
            <w:proofErr w:type="gramEnd"/>
            <w:r>
              <w:t>/п</w:t>
            </w:r>
          </w:p>
        </w:tc>
        <w:tc>
          <w:tcPr>
            <w:tcW w:w="5046" w:type="dxa"/>
            <w:vAlign w:val="center"/>
          </w:tcPr>
          <w:p w:rsidR="0006782D" w:rsidRDefault="0006782D">
            <w:pPr>
              <w:pStyle w:val="ConsPlusNormal"/>
              <w:jc w:val="center"/>
            </w:pPr>
            <w:r>
              <w:t>Наименование стандартизированных тарифных ставок</w:t>
            </w:r>
          </w:p>
        </w:tc>
        <w:tc>
          <w:tcPr>
            <w:tcW w:w="1701" w:type="dxa"/>
            <w:vAlign w:val="center"/>
          </w:tcPr>
          <w:p w:rsidR="0006782D" w:rsidRDefault="0006782D">
            <w:pPr>
              <w:pStyle w:val="ConsPlusNormal"/>
              <w:jc w:val="center"/>
            </w:pPr>
            <w:r>
              <w:t>Единица измерения</w:t>
            </w:r>
          </w:p>
        </w:tc>
        <w:tc>
          <w:tcPr>
            <w:tcW w:w="1361" w:type="dxa"/>
            <w:vAlign w:val="center"/>
          </w:tcPr>
          <w:p w:rsidR="0006782D" w:rsidRDefault="0006782D">
            <w:pPr>
              <w:pStyle w:val="ConsPlusNormal"/>
              <w:jc w:val="center"/>
            </w:pPr>
            <w:r>
              <w:t>Размер стандартизированных тарифных ставок</w:t>
            </w:r>
          </w:p>
        </w:tc>
      </w:tr>
      <w:tr w:rsidR="0006782D" w:rsidTr="0006782D">
        <w:trPr>
          <w:jc w:val="center"/>
        </w:trPr>
        <w:tc>
          <w:tcPr>
            <w:tcW w:w="907" w:type="dxa"/>
            <w:vAlign w:val="center"/>
          </w:tcPr>
          <w:p w:rsidR="0006782D" w:rsidRDefault="0006782D">
            <w:pPr>
              <w:pStyle w:val="ConsPlusNormal"/>
              <w:jc w:val="center"/>
            </w:pPr>
            <w:r>
              <w:t>1.</w:t>
            </w:r>
          </w:p>
        </w:tc>
        <w:tc>
          <w:tcPr>
            <w:tcW w:w="5046" w:type="dxa"/>
            <w:vAlign w:val="center"/>
          </w:tcPr>
          <w:p w:rsidR="0006782D" w:rsidRDefault="0006782D">
            <w:pPr>
              <w:pStyle w:val="ConsPlusNormal"/>
              <w:jc w:val="both"/>
            </w:pPr>
            <w:r>
              <w:t>Стандартизированная тарифная ставка С</w:t>
            </w:r>
            <w:proofErr w:type="gramStart"/>
            <w:r>
              <w:rPr>
                <w:vertAlign w:val="subscript"/>
              </w:rPr>
              <w:t>1</w:t>
            </w:r>
            <w:proofErr w:type="gramEnd"/>
            <w:r>
              <w:t xml:space="preserve"> на покрытие расходов газораспределительных организаций, связанных с разработкой проектной документации, для случаев, когда протяженность строящейся (реконструируемой) сети газораспределения составляет более 150 метров (в текущих ценах без НДС, с налогом на прибыль)</w:t>
            </w:r>
          </w:p>
        </w:tc>
        <w:tc>
          <w:tcPr>
            <w:tcW w:w="1701" w:type="dxa"/>
            <w:vAlign w:val="center"/>
          </w:tcPr>
          <w:p w:rsidR="0006782D" w:rsidRDefault="0006782D">
            <w:pPr>
              <w:pStyle w:val="ConsPlusNormal"/>
              <w:jc w:val="center"/>
            </w:pPr>
            <w:r>
              <w:t>рублей за 1 присоединение</w:t>
            </w:r>
          </w:p>
        </w:tc>
        <w:tc>
          <w:tcPr>
            <w:tcW w:w="1361" w:type="dxa"/>
            <w:vAlign w:val="center"/>
          </w:tcPr>
          <w:p w:rsidR="0006782D" w:rsidRDefault="0006782D">
            <w:pPr>
              <w:pStyle w:val="ConsPlusNormal"/>
              <w:jc w:val="center"/>
            </w:pPr>
            <w:r>
              <w:t>923418,75</w:t>
            </w:r>
          </w:p>
        </w:tc>
      </w:tr>
      <w:tr w:rsidR="0006782D" w:rsidTr="0006782D">
        <w:trPr>
          <w:jc w:val="center"/>
        </w:trPr>
        <w:tc>
          <w:tcPr>
            <w:tcW w:w="907" w:type="dxa"/>
            <w:vAlign w:val="center"/>
          </w:tcPr>
          <w:p w:rsidR="0006782D" w:rsidRDefault="0006782D">
            <w:pPr>
              <w:pStyle w:val="ConsPlusNormal"/>
              <w:jc w:val="center"/>
            </w:pPr>
            <w:r>
              <w:t>2.</w:t>
            </w:r>
          </w:p>
        </w:tc>
        <w:tc>
          <w:tcPr>
            <w:tcW w:w="5046" w:type="dxa"/>
            <w:vAlign w:val="center"/>
          </w:tcPr>
          <w:p w:rsidR="0006782D" w:rsidRDefault="0006782D">
            <w:pPr>
              <w:pStyle w:val="ConsPlusNormal"/>
              <w:jc w:val="both"/>
            </w:pPr>
            <w:r>
              <w:t>Стандартизированная тарифная ставка С</w:t>
            </w:r>
            <w:proofErr w:type="gramStart"/>
            <w:r>
              <w:rPr>
                <w:vertAlign w:val="subscript"/>
              </w:rPr>
              <w:t>2</w:t>
            </w:r>
            <w:proofErr w:type="gramEnd"/>
            <w:r>
              <w:t xml:space="preserve"> на покрытие расходов газораспределительных организаций, связанных с разработкой проектной документации, для случаев, когда протяженность строящейся (реконструируемой) сети газораспределения составляет 150 метров и менее (в текущих ценах без НДС, с налогом на прибыль)</w:t>
            </w:r>
          </w:p>
        </w:tc>
        <w:tc>
          <w:tcPr>
            <w:tcW w:w="1701" w:type="dxa"/>
            <w:vAlign w:val="center"/>
          </w:tcPr>
          <w:p w:rsidR="0006782D" w:rsidRDefault="0006782D">
            <w:pPr>
              <w:pStyle w:val="ConsPlusNormal"/>
              <w:jc w:val="center"/>
            </w:pPr>
            <w:r>
              <w:t>руб./м</w:t>
            </w:r>
            <w:r>
              <w:rPr>
                <w:vertAlign w:val="superscript"/>
              </w:rPr>
              <w:t>3</w:t>
            </w:r>
            <w:r>
              <w:t xml:space="preserve"> в час</w:t>
            </w:r>
          </w:p>
        </w:tc>
        <w:tc>
          <w:tcPr>
            <w:tcW w:w="1361" w:type="dxa"/>
            <w:vAlign w:val="center"/>
          </w:tcPr>
          <w:p w:rsidR="0006782D" w:rsidRDefault="0006782D">
            <w:pPr>
              <w:pStyle w:val="ConsPlusNormal"/>
              <w:jc w:val="center"/>
            </w:pPr>
            <w:r>
              <w:t>15960,00</w:t>
            </w:r>
          </w:p>
        </w:tc>
      </w:tr>
      <w:tr w:rsidR="0006782D" w:rsidTr="0006782D">
        <w:trPr>
          <w:jc w:val="center"/>
        </w:trPr>
        <w:tc>
          <w:tcPr>
            <w:tcW w:w="907" w:type="dxa"/>
            <w:vAlign w:val="center"/>
          </w:tcPr>
          <w:p w:rsidR="0006782D" w:rsidRDefault="0006782D">
            <w:pPr>
              <w:pStyle w:val="ConsPlusNormal"/>
              <w:jc w:val="center"/>
            </w:pPr>
            <w:r>
              <w:t>3.</w:t>
            </w:r>
          </w:p>
        </w:tc>
        <w:tc>
          <w:tcPr>
            <w:tcW w:w="8108" w:type="dxa"/>
            <w:gridSpan w:val="3"/>
            <w:vAlign w:val="center"/>
          </w:tcPr>
          <w:p w:rsidR="0006782D" w:rsidRDefault="0006782D">
            <w:pPr>
              <w:pStyle w:val="ConsPlusNormal"/>
              <w:jc w:val="both"/>
            </w:pPr>
            <w:r>
              <w:t>Стандартизированная тарифная ставка С</w:t>
            </w:r>
            <w:r>
              <w:rPr>
                <w:vertAlign w:val="subscript"/>
              </w:rPr>
              <w:t>3</w:t>
            </w:r>
            <w:r>
              <w:t xml:space="preserve"> на покрытие расходов газораспределительных организаций, связанных со строительством (реконструкцией) стальных газопроводов,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(в базовых ценах 2001 года без НДС, с налогом на прибыль)</w:t>
            </w:r>
          </w:p>
        </w:tc>
      </w:tr>
      <w:tr w:rsidR="0006782D" w:rsidTr="0006782D">
        <w:trPr>
          <w:jc w:val="center"/>
        </w:trPr>
        <w:tc>
          <w:tcPr>
            <w:tcW w:w="907" w:type="dxa"/>
            <w:vAlign w:val="center"/>
          </w:tcPr>
          <w:p w:rsidR="0006782D" w:rsidRDefault="0006782D">
            <w:pPr>
              <w:pStyle w:val="ConsPlusNormal"/>
              <w:jc w:val="center"/>
            </w:pPr>
            <w:r>
              <w:t>3.1.</w:t>
            </w:r>
          </w:p>
        </w:tc>
        <w:tc>
          <w:tcPr>
            <w:tcW w:w="8108" w:type="dxa"/>
            <w:gridSpan w:val="3"/>
            <w:vAlign w:val="center"/>
          </w:tcPr>
          <w:p w:rsidR="0006782D" w:rsidRDefault="0006782D">
            <w:pPr>
              <w:pStyle w:val="ConsPlusNormal"/>
            </w:pPr>
            <w:r>
              <w:t>Наземная (надземная) прокладка строящегося (реконструируемого) газопровода диаметром:</w:t>
            </w:r>
          </w:p>
        </w:tc>
      </w:tr>
      <w:tr w:rsidR="0006782D" w:rsidTr="0006782D">
        <w:trPr>
          <w:jc w:val="center"/>
        </w:trPr>
        <w:tc>
          <w:tcPr>
            <w:tcW w:w="907" w:type="dxa"/>
            <w:vAlign w:val="center"/>
          </w:tcPr>
          <w:p w:rsidR="0006782D" w:rsidRDefault="0006782D">
            <w:pPr>
              <w:pStyle w:val="ConsPlusNormal"/>
              <w:jc w:val="center"/>
            </w:pPr>
            <w:r>
              <w:t>3.1.1.</w:t>
            </w:r>
          </w:p>
        </w:tc>
        <w:tc>
          <w:tcPr>
            <w:tcW w:w="5046" w:type="dxa"/>
            <w:vAlign w:val="center"/>
          </w:tcPr>
          <w:p w:rsidR="0006782D" w:rsidRDefault="0006782D">
            <w:pPr>
              <w:pStyle w:val="ConsPlusNormal"/>
            </w:pPr>
            <w:r>
              <w:t>158 мм и менее</w:t>
            </w:r>
          </w:p>
        </w:tc>
        <w:tc>
          <w:tcPr>
            <w:tcW w:w="1701" w:type="dxa"/>
            <w:vMerge w:val="restart"/>
            <w:vAlign w:val="center"/>
          </w:tcPr>
          <w:p w:rsidR="0006782D" w:rsidRDefault="0006782D">
            <w:pPr>
              <w:pStyle w:val="ConsPlusNormal"/>
              <w:jc w:val="center"/>
            </w:pPr>
            <w:r>
              <w:t>рублей за 1 километр</w:t>
            </w:r>
          </w:p>
        </w:tc>
        <w:tc>
          <w:tcPr>
            <w:tcW w:w="1361" w:type="dxa"/>
            <w:vAlign w:val="center"/>
          </w:tcPr>
          <w:p w:rsidR="0006782D" w:rsidRDefault="0006782D">
            <w:pPr>
              <w:pStyle w:val="ConsPlusNormal"/>
              <w:jc w:val="center"/>
            </w:pPr>
            <w:r>
              <w:t>294275</w:t>
            </w:r>
          </w:p>
        </w:tc>
      </w:tr>
      <w:tr w:rsidR="0006782D" w:rsidTr="0006782D">
        <w:trPr>
          <w:jc w:val="center"/>
        </w:trPr>
        <w:tc>
          <w:tcPr>
            <w:tcW w:w="907" w:type="dxa"/>
            <w:vAlign w:val="center"/>
          </w:tcPr>
          <w:p w:rsidR="0006782D" w:rsidRDefault="0006782D">
            <w:pPr>
              <w:pStyle w:val="ConsPlusNormal"/>
              <w:jc w:val="center"/>
            </w:pPr>
            <w:r>
              <w:t>3.1.2.</w:t>
            </w:r>
          </w:p>
        </w:tc>
        <w:tc>
          <w:tcPr>
            <w:tcW w:w="5046" w:type="dxa"/>
            <w:vAlign w:val="center"/>
          </w:tcPr>
          <w:p w:rsidR="0006782D" w:rsidRDefault="0006782D">
            <w:pPr>
              <w:pStyle w:val="ConsPlusNormal"/>
            </w:pPr>
            <w:r>
              <w:t>159 - 218 мм</w:t>
            </w:r>
          </w:p>
        </w:tc>
        <w:tc>
          <w:tcPr>
            <w:tcW w:w="1701" w:type="dxa"/>
            <w:vMerge/>
          </w:tcPr>
          <w:p w:rsidR="0006782D" w:rsidRDefault="0006782D"/>
        </w:tc>
        <w:tc>
          <w:tcPr>
            <w:tcW w:w="1361" w:type="dxa"/>
            <w:vAlign w:val="center"/>
          </w:tcPr>
          <w:p w:rsidR="0006782D" w:rsidRDefault="0006782D">
            <w:pPr>
              <w:pStyle w:val="ConsPlusNormal"/>
              <w:jc w:val="center"/>
            </w:pPr>
            <w:r>
              <w:t>417763</w:t>
            </w:r>
          </w:p>
        </w:tc>
      </w:tr>
      <w:tr w:rsidR="0006782D" w:rsidTr="0006782D">
        <w:trPr>
          <w:jc w:val="center"/>
        </w:trPr>
        <w:tc>
          <w:tcPr>
            <w:tcW w:w="907" w:type="dxa"/>
            <w:vAlign w:val="center"/>
          </w:tcPr>
          <w:p w:rsidR="0006782D" w:rsidRDefault="0006782D">
            <w:pPr>
              <w:pStyle w:val="ConsPlusNormal"/>
              <w:jc w:val="center"/>
            </w:pPr>
            <w:r>
              <w:t>3.1.3.</w:t>
            </w:r>
          </w:p>
        </w:tc>
        <w:tc>
          <w:tcPr>
            <w:tcW w:w="5046" w:type="dxa"/>
            <w:vAlign w:val="center"/>
          </w:tcPr>
          <w:p w:rsidR="0006782D" w:rsidRDefault="0006782D">
            <w:pPr>
              <w:pStyle w:val="ConsPlusNormal"/>
            </w:pPr>
            <w:r>
              <w:t>219 - 272 мм</w:t>
            </w:r>
          </w:p>
        </w:tc>
        <w:tc>
          <w:tcPr>
            <w:tcW w:w="1701" w:type="dxa"/>
            <w:vMerge/>
          </w:tcPr>
          <w:p w:rsidR="0006782D" w:rsidRDefault="0006782D"/>
        </w:tc>
        <w:tc>
          <w:tcPr>
            <w:tcW w:w="1361" w:type="dxa"/>
            <w:vAlign w:val="center"/>
          </w:tcPr>
          <w:p w:rsidR="0006782D" w:rsidRDefault="0006782D">
            <w:pPr>
              <w:pStyle w:val="ConsPlusNormal"/>
              <w:jc w:val="center"/>
            </w:pPr>
            <w:r>
              <w:t>602000</w:t>
            </w:r>
          </w:p>
        </w:tc>
      </w:tr>
      <w:tr w:rsidR="0006782D" w:rsidTr="0006782D">
        <w:trPr>
          <w:jc w:val="center"/>
        </w:trPr>
        <w:tc>
          <w:tcPr>
            <w:tcW w:w="907" w:type="dxa"/>
            <w:vAlign w:val="center"/>
          </w:tcPr>
          <w:p w:rsidR="0006782D" w:rsidRDefault="0006782D">
            <w:pPr>
              <w:pStyle w:val="ConsPlusNormal"/>
              <w:jc w:val="center"/>
            </w:pPr>
            <w:r>
              <w:t>3.1.4.</w:t>
            </w:r>
          </w:p>
        </w:tc>
        <w:tc>
          <w:tcPr>
            <w:tcW w:w="5046" w:type="dxa"/>
            <w:vAlign w:val="center"/>
          </w:tcPr>
          <w:p w:rsidR="0006782D" w:rsidRDefault="0006782D">
            <w:pPr>
              <w:pStyle w:val="ConsPlusNormal"/>
            </w:pPr>
            <w:r>
              <w:t>273 - 324 мм</w:t>
            </w:r>
          </w:p>
        </w:tc>
        <w:tc>
          <w:tcPr>
            <w:tcW w:w="1701" w:type="dxa"/>
            <w:vMerge/>
          </w:tcPr>
          <w:p w:rsidR="0006782D" w:rsidRDefault="0006782D"/>
        </w:tc>
        <w:tc>
          <w:tcPr>
            <w:tcW w:w="1361" w:type="dxa"/>
            <w:vAlign w:val="center"/>
          </w:tcPr>
          <w:p w:rsidR="0006782D" w:rsidRDefault="0006782D">
            <w:pPr>
              <w:pStyle w:val="ConsPlusNormal"/>
              <w:jc w:val="center"/>
            </w:pPr>
            <w:r>
              <w:t>769500</w:t>
            </w:r>
          </w:p>
        </w:tc>
      </w:tr>
      <w:tr w:rsidR="0006782D" w:rsidTr="0006782D">
        <w:trPr>
          <w:jc w:val="center"/>
        </w:trPr>
        <w:tc>
          <w:tcPr>
            <w:tcW w:w="907" w:type="dxa"/>
            <w:vAlign w:val="center"/>
          </w:tcPr>
          <w:p w:rsidR="0006782D" w:rsidRDefault="0006782D">
            <w:pPr>
              <w:pStyle w:val="ConsPlusNormal"/>
              <w:jc w:val="center"/>
            </w:pPr>
            <w:r>
              <w:lastRenderedPageBreak/>
              <w:t>3.1.5.</w:t>
            </w:r>
          </w:p>
        </w:tc>
        <w:tc>
          <w:tcPr>
            <w:tcW w:w="5046" w:type="dxa"/>
            <w:vAlign w:val="center"/>
          </w:tcPr>
          <w:p w:rsidR="0006782D" w:rsidRDefault="0006782D">
            <w:pPr>
              <w:pStyle w:val="ConsPlusNormal"/>
            </w:pPr>
            <w:r>
              <w:t>325 - 425 мм</w:t>
            </w:r>
          </w:p>
        </w:tc>
        <w:tc>
          <w:tcPr>
            <w:tcW w:w="1701" w:type="dxa"/>
            <w:vMerge/>
          </w:tcPr>
          <w:p w:rsidR="0006782D" w:rsidRDefault="0006782D"/>
        </w:tc>
        <w:tc>
          <w:tcPr>
            <w:tcW w:w="1361" w:type="dxa"/>
            <w:vAlign w:val="center"/>
          </w:tcPr>
          <w:p w:rsidR="0006782D" w:rsidRDefault="0006782D">
            <w:pPr>
              <w:pStyle w:val="ConsPlusNormal"/>
              <w:jc w:val="center"/>
            </w:pPr>
            <w:r>
              <w:t>936475</w:t>
            </w:r>
          </w:p>
        </w:tc>
      </w:tr>
      <w:tr w:rsidR="0006782D" w:rsidTr="0006782D">
        <w:trPr>
          <w:jc w:val="center"/>
        </w:trPr>
        <w:tc>
          <w:tcPr>
            <w:tcW w:w="907" w:type="dxa"/>
            <w:vAlign w:val="center"/>
          </w:tcPr>
          <w:p w:rsidR="0006782D" w:rsidRDefault="0006782D">
            <w:pPr>
              <w:pStyle w:val="ConsPlusNormal"/>
              <w:jc w:val="center"/>
            </w:pPr>
            <w:r>
              <w:t>3.1.6.</w:t>
            </w:r>
          </w:p>
        </w:tc>
        <w:tc>
          <w:tcPr>
            <w:tcW w:w="5046" w:type="dxa"/>
            <w:vAlign w:val="center"/>
          </w:tcPr>
          <w:p w:rsidR="0006782D" w:rsidRDefault="0006782D">
            <w:pPr>
              <w:pStyle w:val="ConsPlusNormal"/>
            </w:pPr>
            <w:r>
              <w:t>426 - 529 мм</w:t>
            </w:r>
          </w:p>
        </w:tc>
        <w:tc>
          <w:tcPr>
            <w:tcW w:w="1701" w:type="dxa"/>
            <w:vMerge/>
          </w:tcPr>
          <w:p w:rsidR="0006782D" w:rsidRDefault="0006782D"/>
        </w:tc>
        <w:tc>
          <w:tcPr>
            <w:tcW w:w="1361" w:type="dxa"/>
            <w:vAlign w:val="center"/>
          </w:tcPr>
          <w:p w:rsidR="0006782D" w:rsidRDefault="0006782D">
            <w:pPr>
              <w:pStyle w:val="ConsPlusNormal"/>
              <w:jc w:val="center"/>
            </w:pPr>
            <w:r>
              <w:t>2044163</w:t>
            </w:r>
          </w:p>
        </w:tc>
      </w:tr>
      <w:tr w:rsidR="0006782D" w:rsidTr="0006782D">
        <w:trPr>
          <w:jc w:val="center"/>
        </w:trPr>
        <w:tc>
          <w:tcPr>
            <w:tcW w:w="907" w:type="dxa"/>
            <w:vAlign w:val="center"/>
          </w:tcPr>
          <w:p w:rsidR="0006782D" w:rsidRDefault="0006782D">
            <w:pPr>
              <w:pStyle w:val="ConsPlusNormal"/>
              <w:jc w:val="center"/>
            </w:pPr>
            <w:r>
              <w:t>3.1.7.</w:t>
            </w:r>
          </w:p>
        </w:tc>
        <w:tc>
          <w:tcPr>
            <w:tcW w:w="5046" w:type="dxa"/>
            <w:vAlign w:val="center"/>
          </w:tcPr>
          <w:p w:rsidR="0006782D" w:rsidRDefault="0006782D">
            <w:pPr>
              <w:pStyle w:val="ConsPlusNormal"/>
            </w:pPr>
            <w:r>
              <w:t>530 мм и выше</w:t>
            </w:r>
          </w:p>
        </w:tc>
        <w:tc>
          <w:tcPr>
            <w:tcW w:w="1701" w:type="dxa"/>
            <w:vMerge/>
          </w:tcPr>
          <w:p w:rsidR="0006782D" w:rsidRDefault="0006782D"/>
        </w:tc>
        <w:tc>
          <w:tcPr>
            <w:tcW w:w="1361" w:type="dxa"/>
            <w:vAlign w:val="center"/>
          </w:tcPr>
          <w:p w:rsidR="0006782D" w:rsidRDefault="0006782D">
            <w:pPr>
              <w:pStyle w:val="ConsPlusNormal"/>
              <w:jc w:val="center"/>
            </w:pPr>
            <w:r>
              <w:t>4852088</w:t>
            </w:r>
          </w:p>
        </w:tc>
      </w:tr>
      <w:tr w:rsidR="0006782D" w:rsidTr="0006782D">
        <w:trPr>
          <w:jc w:val="center"/>
        </w:trPr>
        <w:tc>
          <w:tcPr>
            <w:tcW w:w="907" w:type="dxa"/>
            <w:vAlign w:val="center"/>
          </w:tcPr>
          <w:p w:rsidR="0006782D" w:rsidRDefault="0006782D">
            <w:pPr>
              <w:pStyle w:val="ConsPlusNormal"/>
              <w:jc w:val="center"/>
            </w:pPr>
            <w:r>
              <w:t>3.2.</w:t>
            </w:r>
          </w:p>
        </w:tc>
        <w:tc>
          <w:tcPr>
            <w:tcW w:w="8108" w:type="dxa"/>
            <w:gridSpan w:val="3"/>
            <w:vAlign w:val="center"/>
          </w:tcPr>
          <w:p w:rsidR="0006782D" w:rsidRDefault="0006782D">
            <w:pPr>
              <w:pStyle w:val="ConsPlusNormal"/>
            </w:pPr>
            <w:r>
              <w:t>Подземная прокладка строящегося (реконструируемого) газопровода диаметром:</w:t>
            </w:r>
          </w:p>
        </w:tc>
      </w:tr>
      <w:tr w:rsidR="0006782D" w:rsidTr="0006782D">
        <w:trPr>
          <w:jc w:val="center"/>
        </w:trPr>
        <w:tc>
          <w:tcPr>
            <w:tcW w:w="907" w:type="dxa"/>
            <w:vAlign w:val="center"/>
          </w:tcPr>
          <w:p w:rsidR="0006782D" w:rsidRDefault="0006782D">
            <w:pPr>
              <w:pStyle w:val="ConsPlusNormal"/>
              <w:jc w:val="center"/>
            </w:pPr>
            <w:r>
              <w:t>3.2.1.</w:t>
            </w:r>
          </w:p>
        </w:tc>
        <w:tc>
          <w:tcPr>
            <w:tcW w:w="5046" w:type="dxa"/>
            <w:vAlign w:val="center"/>
          </w:tcPr>
          <w:p w:rsidR="0006782D" w:rsidRDefault="0006782D">
            <w:pPr>
              <w:pStyle w:val="ConsPlusNormal"/>
            </w:pPr>
            <w:r>
              <w:t>158 мм и менее</w:t>
            </w:r>
          </w:p>
        </w:tc>
        <w:tc>
          <w:tcPr>
            <w:tcW w:w="1701" w:type="dxa"/>
            <w:vMerge w:val="restart"/>
            <w:vAlign w:val="center"/>
          </w:tcPr>
          <w:p w:rsidR="0006782D" w:rsidRDefault="0006782D">
            <w:pPr>
              <w:pStyle w:val="ConsPlusNormal"/>
              <w:jc w:val="center"/>
            </w:pPr>
            <w:r>
              <w:t>рублей за 1 километр</w:t>
            </w:r>
          </w:p>
        </w:tc>
        <w:tc>
          <w:tcPr>
            <w:tcW w:w="1361" w:type="dxa"/>
            <w:vAlign w:val="center"/>
          </w:tcPr>
          <w:p w:rsidR="0006782D" w:rsidRDefault="0006782D">
            <w:pPr>
              <w:pStyle w:val="ConsPlusNormal"/>
              <w:jc w:val="center"/>
            </w:pPr>
            <w:r>
              <w:t>416563</w:t>
            </w:r>
          </w:p>
        </w:tc>
      </w:tr>
      <w:tr w:rsidR="0006782D" w:rsidTr="0006782D">
        <w:trPr>
          <w:jc w:val="center"/>
        </w:trPr>
        <w:tc>
          <w:tcPr>
            <w:tcW w:w="907" w:type="dxa"/>
            <w:vAlign w:val="center"/>
          </w:tcPr>
          <w:p w:rsidR="0006782D" w:rsidRDefault="0006782D">
            <w:pPr>
              <w:pStyle w:val="ConsPlusNormal"/>
              <w:jc w:val="center"/>
            </w:pPr>
            <w:r>
              <w:t>3.2.2.</w:t>
            </w:r>
          </w:p>
        </w:tc>
        <w:tc>
          <w:tcPr>
            <w:tcW w:w="5046" w:type="dxa"/>
            <w:vAlign w:val="center"/>
          </w:tcPr>
          <w:p w:rsidR="0006782D" w:rsidRDefault="0006782D">
            <w:pPr>
              <w:pStyle w:val="ConsPlusNormal"/>
            </w:pPr>
            <w:r>
              <w:t>159 - 218 мм</w:t>
            </w:r>
          </w:p>
        </w:tc>
        <w:tc>
          <w:tcPr>
            <w:tcW w:w="1701" w:type="dxa"/>
            <w:vMerge/>
          </w:tcPr>
          <w:p w:rsidR="0006782D" w:rsidRDefault="0006782D"/>
        </w:tc>
        <w:tc>
          <w:tcPr>
            <w:tcW w:w="1361" w:type="dxa"/>
            <w:vAlign w:val="center"/>
          </w:tcPr>
          <w:p w:rsidR="0006782D" w:rsidRDefault="0006782D">
            <w:pPr>
              <w:pStyle w:val="ConsPlusNormal"/>
              <w:jc w:val="center"/>
            </w:pPr>
            <w:r>
              <w:t>571500</w:t>
            </w:r>
          </w:p>
        </w:tc>
      </w:tr>
      <w:tr w:rsidR="0006782D" w:rsidTr="0006782D">
        <w:trPr>
          <w:jc w:val="center"/>
        </w:trPr>
        <w:tc>
          <w:tcPr>
            <w:tcW w:w="907" w:type="dxa"/>
            <w:vAlign w:val="center"/>
          </w:tcPr>
          <w:p w:rsidR="0006782D" w:rsidRDefault="0006782D">
            <w:pPr>
              <w:pStyle w:val="ConsPlusNormal"/>
              <w:jc w:val="center"/>
            </w:pPr>
            <w:r>
              <w:t>3.2.3.</w:t>
            </w:r>
          </w:p>
        </w:tc>
        <w:tc>
          <w:tcPr>
            <w:tcW w:w="5046" w:type="dxa"/>
            <w:vAlign w:val="center"/>
          </w:tcPr>
          <w:p w:rsidR="0006782D" w:rsidRDefault="0006782D">
            <w:pPr>
              <w:pStyle w:val="ConsPlusNormal"/>
            </w:pPr>
            <w:r>
              <w:t>219 - 272 мм</w:t>
            </w:r>
          </w:p>
        </w:tc>
        <w:tc>
          <w:tcPr>
            <w:tcW w:w="1701" w:type="dxa"/>
            <w:vMerge/>
          </w:tcPr>
          <w:p w:rsidR="0006782D" w:rsidRDefault="0006782D"/>
        </w:tc>
        <w:tc>
          <w:tcPr>
            <w:tcW w:w="1361" w:type="dxa"/>
            <w:vAlign w:val="center"/>
          </w:tcPr>
          <w:p w:rsidR="0006782D" w:rsidRDefault="0006782D">
            <w:pPr>
              <w:pStyle w:val="ConsPlusNormal"/>
              <w:jc w:val="center"/>
            </w:pPr>
            <w:r>
              <w:t>831638</w:t>
            </w:r>
          </w:p>
        </w:tc>
      </w:tr>
      <w:tr w:rsidR="0006782D" w:rsidTr="0006782D">
        <w:trPr>
          <w:jc w:val="center"/>
        </w:trPr>
        <w:tc>
          <w:tcPr>
            <w:tcW w:w="907" w:type="dxa"/>
            <w:vAlign w:val="center"/>
          </w:tcPr>
          <w:p w:rsidR="0006782D" w:rsidRDefault="0006782D">
            <w:pPr>
              <w:pStyle w:val="ConsPlusNormal"/>
              <w:jc w:val="center"/>
            </w:pPr>
            <w:r>
              <w:t>3.2.4.</w:t>
            </w:r>
          </w:p>
        </w:tc>
        <w:tc>
          <w:tcPr>
            <w:tcW w:w="5046" w:type="dxa"/>
            <w:vAlign w:val="center"/>
          </w:tcPr>
          <w:p w:rsidR="0006782D" w:rsidRDefault="0006782D">
            <w:pPr>
              <w:pStyle w:val="ConsPlusNormal"/>
            </w:pPr>
            <w:r>
              <w:t>273 - 324 мм</w:t>
            </w:r>
          </w:p>
        </w:tc>
        <w:tc>
          <w:tcPr>
            <w:tcW w:w="1701" w:type="dxa"/>
            <w:vMerge/>
          </w:tcPr>
          <w:p w:rsidR="0006782D" w:rsidRDefault="0006782D"/>
        </w:tc>
        <w:tc>
          <w:tcPr>
            <w:tcW w:w="1361" w:type="dxa"/>
            <w:vAlign w:val="center"/>
          </w:tcPr>
          <w:p w:rsidR="0006782D" w:rsidRDefault="0006782D">
            <w:pPr>
              <w:pStyle w:val="ConsPlusNormal"/>
              <w:jc w:val="center"/>
            </w:pPr>
            <w:r>
              <w:t>987475</w:t>
            </w:r>
          </w:p>
        </w:tc>
      </w:tr>
      <w:tr w:rsidR="0006782D" w:rsidTr="0006782D">
        <w:trPr>
          <w:jc w:val="center"/>
        </w:trPr>
        <w:tc>
          <w:tcPr>
            <w:tcW w:w="907" w:type="dxa"/>
            <w:vAlign w:val="center"/>
          </w:tcPr>
          <w:p w:rsidR="0006782D" w:rsidRDefault="0006782D">
            <w:pPr>
              <w:pStyle w:val="ConsPlusNormal"/>
              <w:jc w:val="center"/>
            </w:pPr>
            <w:r>
              <w:t>3.2.5.</w:t>
            </w:r>
          </w:p>
        </w:tc>
        <w:tc>
          <w:tcPr>
            <w:tcW w:w="5046" w:type="dxa"/>
            <w:vAlign w:val="center"/>
          </w:tcPr>
          <w:p w:rsidR="0006782D" w:rsidRDefault="0006782D">
            <w:pPr>
              <w:pStyle w:val="ConsPlusNormal"/>
            </w:pPr>
            <w:r>
              <w:t>325 - 425 мм</w:t>
            </w:r>
          </w:p>
        </w:tc>
        <w:tc>
          <w:tcPr>
            <w:tcW w:w="1701" w:type="dxa"/>
            <w:vMerge/>
          </w:tcPr>
          <w:p w:rsidR="0006782D" w:rsidRDefault="0006782D"/>
        </w:tc>
        <w:tc>
          <w:tcPr>
            <w:tcW w:w="1361" w:type="dxa"/>
            <w:vAlign w:val="center"/>
          </w:tcPr>
          <w:p w:rsidR="0006782D" w:rsidRDefault="0006782D">
            <w:pPr>
              <w:pStyle w:val="ConsPlusNormal"/>
              <w:jc w:val="center"/>
            </w:pPr>
            <w:r>
              <w:t>1389063</w:t>
            </w:r>
          </w:p>
        </w:tc>
      </w:tr>
      <w:tr w:rsidR="0006782D" w:rsidTr="0006782D">
        <w:trPr>
          <w:jc w:val="center"/>
        </w:trPr>
        <w:tc>
          <w:tcPr>
            <w:tcW w:w="907" w:type="dxa"/>
            <w:vAlign w:val="center"/>
          </w:tcPr>
          <w:p w:rsidR="0006782D" w:rsidRDefault="0006782D">
            <w:pPr>
              <w:pStyle w:val="ConsPlusNormal"/>
              <w:jc w:val="center"/>
            </w:pPr>
            <w:r>
              <w:t>3.2.6.</w:t>
            </w:r>
          </w:p>
        </w:tc>
        <w:tc>
          <w:tcPr>
            <w:tcW w:w="5046" w:type="dxa"/>
            <w:vAlign w:val="center"/>
          </w:tcPr>
          <w:p w:rsidR="0006782D" w:rsidRDefault="0006782D">
            <w:pPr>
              <w:pStyle w:val="ConsPlusNormal"/>
            </w:pPr>
            <w:r>
              <w:t>426 - 529 мм</w:t>
            </w:r>
          </w:p>
        </w:tc>
        <w:tc>
          <w:tcPr>
            <w:tcW w:w="1701" w:type="dxa"/>
            <w:vMerge/>
          </w:tcPr>
          <w:p w:rsidR="0006782D" w:rsidRDefault="0006782D"/>
        </w:tc>
        <w:tc>
          <w:tcPr>
            <w:tcW w:w="1361" w:type="dxa"/>
            <w:vAlign w:val="center"/>
          </w:tcPr>
          <w:p w:rsidR="0006782D" w:rsidRDefault="0006782D">
            <w:pPr>
              <w:pStyle w:val="ConsPlusNormal"/>
              <w:jc w:val="center"/>
            </w:pPr>
            <w:r>
              <w:t>3095363</w:t>
            </w:r>
          </w:p>
        </w:tc>
      </w:tr>
      <w:tr w:rsidR="0006782D" w:rsidTr="0006782D">
        <w:trPr>
          <w:jc w:val="center"/>
        </w:trPr>
        <w:tc>
          <w:tcPr>
            <w:tcW w:w="907" w:type="dxa"/>
            <w:vAlign w:val="center"/>
          </w:tcPr>
          <w:p w:rsidR="0006782D" w:rsidRDefault="0006782D">
            <w:pPr>
              <w:pStyle w:val="ConsPlusNormal"/>
              <w:jc w:val="center"/>
            </w:pPr>
            <w:r>
              <w:t>3.2.7.</w:t>
            </w:r>
          </w:p>
        </w:tc>
        <w:tc>
          <w:tcPr>
            <w:tcW w:w="5046" w:type="dxa"/>
            <w:vAlign w:val="center"/>
          </w:tcPr>
          <w:p w:rsidR="0006782D" w:rsidRDefault="0006782D">
            <w:pPr>
              <w:pStyle w:val="ConsPlusNormal"/>
            </w:pPr>
            <w:r>
              <w:t>530 мм и выше</w:t>
            </w:r>
          </w:p>
        </w:tc>
        <w:tc>
          <w:tcPr>
            <w:tcW w:w="1701" w:type="dxa"/>
            <w:vMerge/>
          </w:tcPr>
          <w:p w:rsidR="0006782D" w:rsidRDefault="0006782D"/>
        </w:tc>
        <w:tc>
          <w:tcPr>
            <w:tcW w:w="1361" w:type="dxa"/>
            <w:vAlign w:val="center"/>
          </w:tcPr>
          <w:p w:rsidR="0006782D" w:rsidRDefault="0006782D">
            <w:pPr>
              <w:pStyle w:val="ConsPlusNormal"/>
              <w:jc w:val="center"/>
            </w:pPr>
            <w:r>
              <w:t>4599900</w:t>
            </w:r>
          </w:p>
        </w:tc>
      </w:tr>
      <w:tr w:rsidR="0006782D" w:rsidTr="0006782D">
        <w:trPr>
          <w:jc w:val="center"/>
        </w:trPr>
        <w:tc>
          <w:tcPr>
            <w:tcW w:w="907" w:type="dxa"/>
            <w:vAlign w:val="center"/>
          </w:tcPr>
          <w:p w:rsidR="0006782D" w:rsidRDefault="0006782D">
            <w:pPr>
              <w:pStyle w:val="ConsPlusNormal"/>
              <w:jc w:val="center"/>
            </w:pPr>
            <w:r>
              <w:t>4.</w:t>
            </w:r>
          </w:p>
        </w:tc>
        <w:tc>
          <w:tcPr>
            <w:tcW w:w="8108" w:type="dxa"/>
            <w:gridSpan w:val="3"/>
            <w:vAlign w:val="center"/>
          </w:tcPr>
          <w:p w:rsidR="0006782D" w:rsidRDefault="0006782D">
            <w:pPr>
              <w:pStyle w:val="ConsPlusNormal"/>
              <w:jc w:val="both"/>
            </w:pPr>
            <w:r>
              <w:t>Стандартизированная тарифная ставка С</w:t>
            </w:r>
            <w:proofErr w:type="gramStart"/>
            <w:r>
              <w:rPr>
                <w:vertAlign w:val="subscript"/>
              </w:rPr>
              <w:t>4</w:t>
            </w:r>
            <w:proofErr w:type="gramEnd"/>
            <w:r>
              <w:t xml:space="preserve"> на покрытие расходов газораспределительных организаций, связанных со строительством (реконструкцией) полиэтиленовых газопроводов,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(в базовых ценах 2001 года без НДС, с налогом на прибыль), в том числе по диаметрам строящихся (реконструируемых) газопроводов:</w:t>
            </w:r>
          </w:p>
        </w:tc>
      </w:tr>
      <w:tr w:rsidR="0006782D" w:rsidTr="0006782D">
        <w:trPr>
          <w:jc w:val="center"/>
        </w:trPr>
        <w:tc>
          <w:tcPr>
            <w:tcW w:w="907" w:type="dxa"/>
            <w:vAlign w:val="center"/>
          </w:tcPr>
          <w:p w:rsidR="0006782D" w:rsidRDefault="0006782D">
            <w:pPr>
              <w:pStyle w:val="ConsPlusNormal"/>
              <w:jc w:val="center"/>
            </w:pPr>
            <w:r>
              <w:t>4.1.</w:t>
            </w:r>
          </w:p>
        </w:tc>
        <w:tc>
          <w:tcPr>
            <w:tcW w:w="5046" w:type="dxa"/>
            <w:vAlign w:val="center"/>
          </w:tcPr>
          <w:p w:rsidR="0006782D" w:rsidRDefault="0006782D">
            <w:pPr>
              <w:pStyle w:val="ConsPlusNormal"/>
            </w:pPr>
            <w:r>
              <w:t>109 мм и менее</w:t>
            </w:r>
          </w:p>
        </w:tc>
        <w:tc>
          <w:tcPr>
            <w:tcW w:w="1701" w:type="dxa"/>
            <w:vMerge w:val="restart"/>
            <w:vAlign w:val="center"/>
          </w:tcPr>
          <w:p w:rsidR="0006782D" w:rsidRDefault="0006782D">
            <w:pPr>
              <w:pStyle w:val="ConsPlusNormal"/>
              <w:jc w:val="center"/>
            </w:pPr>
            <w:r>
              <w:t>рублей за 1 километр</w:t>
            </w:r>
          </w:p>
        </w:tc>
        <w:tc>
          <w:tcPr>
            <w:tcW w:w="1361" w:type="dxa"/>
            <w:vAlign w:val="center"/>
          </w:tcPr>
          <w:p w:rsidR="0006782D" w:rsidRDefault="0006782D">
            <w:pPr>
              <w:pStyle w:val="ConsPlusNormal"/>
              <w:jc w:val="center"/>
            </w:pPr>
            <w:r>
              <w:t>337875</w:t>
            </w:r>
          </w:p>
        </w:tc>
      </w:tr>
      <w:tr w:rsidR="0006782D" w:rsidTr="0006782D">
        <w:trPr>
          <w:jc w:val="center"/>
        </w:trPr>
        <w:tc>
          <w:tcPr>
            <w:tcW w:w="907" w:type="dxa"/>
            <w:vAlign w:val="center"/>
          </w:tcPr>
          <w:p w:rsidR="0006782D" w:rsidRDefault="0006782D">
            <w:pPr>
              <w:pStyle w:val="ConsPlusNormal"/>
              <w:jc w:val="center"/>
            </w:pPr>
            <w:r>
              <w:t>4.2.</w:t>
            </w:r>
          </w:p>
        </w:tc>
        <w:tc>
          <w:tcPr>
            <w:tcW w:w="5046" w:type="dxa"/>
            <w:vAlign w:val="center"/>
          </w:tcPr>
          <w:p w:rsidR="0006782D" w:rsidRDefault="0006782D">
            <w:pPr>
              <w:pStyle w:val="ConsPlusNormal"/>
            </w:pPr>
            <w:r>
              <w:t>110 - 159 мм</w:t>
            </w:r>
          </w:p>
        </w:tc>
        <w:tc>
          <w:tcPr>
            <w:tcW w:w="1701" w:type="dxa"/>
            <w:vMerge/>
          </w:tcPr>
          <w:p w:rsidR="0006782D" w:rsidRDefault="0006782D"/>
        </w:tc>
        <w:tc>
          <w:tcPr>
            <w:tcW w:w="1361" w:type="dxa"/>
            <w:vAlign w:val="center"/>
          </w:tcPr>
          <w:p w:rsidR="0006782D" w:rsidRDefault="0006782D">
            <w:pPr>
              <w:pStyle w:val="ConsPlusNormal"/>
              <w:jc w:val="center"/>
            </w:pPr>
            <w:r>
              <w:t>501163</w:t>
            </w:r>
          </w:p>
        </w:tc>
      </w:tr>
      <w:tr w:rsidR="0006782D" w:rsidTr="0006782D">
        <w:trPr>
          <w:jc w:val="center"/>
        </w:trPr>
        <w:tc>
          <w:tcPr>
            <w:tcW w:w="907" w:type="dxa"/>
            <w:vAlign w:val="center"/>
          </w:tcPr>
          <w:p w:rsidR="0006782D" w:rsidRDefault="0006782D">
            <w:pPr>
              <w:pStyle w:val="ConsPlusNormal"/>
              <w:jc w:val="center"/>
            </w:pPr>
            <w:r>
              <w:t>4.3.</w:t>
            </w:r>
          </w:p>
        </w:tc>
        <w:tc>
          <w:tcPr>
            <w:tcW w:w="5046" w:type="dxa"/>
            <w:vAlign w:val="center"/>
          </w:tcPr>
          <w:p w:rsidR="0006782D" w:rsidRDefault="0006782D">
            <w:pPr>
              <w:pStyle w:val="ConsPlusNormal"/>
            </w:pPr>
            <w:r>
              <w:t>160 - 224 мм</w:t>
            </w:r>
          </w:p>
        </w:tc>
        <w:tc>
          <w:tcPr>
            <w:tcW w:w="1701" w:type="dxa"/>
            <w:vMerge/>
          </w:tcPr>
          <w:p w:rsidR="0006782D" w:rsidRDefault="0006782D"/>
        </w:tc>
        <w:tc>
          <w:tcPr>
            <w:tcW w:w="1361" w:type="dxa"/>
            <w:vAlign w:val="center"/>
          </w:tcPr>
          <w:p w:rsidR="0006782D" w:rsidRDefault="0006782D">
            <w:pPr>
              <w:pStyle w:val="ConsPlusNormal"/>
              <w:jc w:val="center"/>
            </w:pPr>
            <w:r>
              <w:t>753975</w:t>
            </w:r>
          </w:p>
        </w:tc>
      </w:tr>
      <w:tr w:rsidR="0006782D" w:rsidTr="0006782D">
        <w:trPr>
          <w:jc w:val="center"/>
        </w:trPr>
        <w:tc>
          <w:tcPr>
            <w:tcW w:w="907" w:type="dxa"/>
            <w:vAlign w:val="center"/>
          </w:tcPr>
          <w:p w:rsidR="0006782D" w:rsidRDefault="0006782D">
            <w:pPr>
              <w:pStyle w:val="ConsPlusNormal"/>
              <w:jc w:val="center"/>
            </w:pPr>
            <w:r>
              <w:t>4.4.</w:t>
            </w:r>
          </w:p>
        </w:tc>
        <w:tc>
          <w:tcPr>
            <w:tcW w:w="5046" w:type="dxa"/>
            <w:vAlign w:val="center"/>
          </w:tcPr>
          <w:p w:rsidR="0006782D" w:rsidRDefault="0006782D">
            <w:pPr>
              <w:pStyle w:val="ConsPlusNormal"/>
            </w:pPr>
            <w:r>
              <w:t>225 - 314 мм</w:t>
            </w:r>
          </w:p>
        </w:tc>
        <w:tc>
          <w:tcPr>
            <w:tcW w:w="1701" w:type="dxa"/>
            <w:vMerge/>
          </w:tcPr>
          <w:p w:rsidR="0006782D" w:rsidRDefault="0006782D"/>
        </w:tc>
        <w:tc>
          <w:tcPr>
            <w:tcW w:w="1361" w:type="dxa"/>
            <w:vAlign w:val="center"/>
          </w:tcPr>
          <w:p w:rsidR="0006782D" w:rsidRDefault="0006782D">
            <w:pPr>
              <w:pStyle w:val="ConsPlusNormal"/>
              <w:jc w:val="center"/>
            </w:pPr>
            <w:r>
              <w:t>1485213</w:t>
            </w:r>
          </w:p>
        </w:tc>
      </w:tr>
      <w:tr w:rsidR="0006782D" w:rsidTr="0006782D">
        <w:trPr>
          <w:jc w:val="center"/>
        </w:trPr>
        <w:tc>
          <w:tcPr>
            <w:tcW w:w="907" w:type="dxa"/>
            <w:vAlign w:val="center"/>
          </w:tcPr>
          <w:p w:rsidR="0006782D" w:rsidRDefault="0006782D">
            <w:pPr>
              <w:pStyle w:val="ConsPlusNormal"/>
              <w:jc w:val="center"/>
            </w:pPr>
            <w:r>
              <w:t>4.5.</w:t>
            </w:r>
          </w:p>
        </w:tc>
        <w:tc>
          <w:tcPr>
            <w:tcW w:w="5046" w:type="dxa"/>
            <w:vAlign w:val="center"/>
          </w:tcPr>
          <w:p w:rsidR="0006782D" w:rsidRDefault="0006782D">
            <w:pPr>
              <w:pStyle w:val="ConsPlusNormal"/>
            </w:pPr>
            <w:r>
              <w:t>315 - 399 мм</w:t>
            </w:r>
          </w:p>
        </w:tc>
        <w:tc>
          <w:tcPr>
            <w:tcW w:w="1701" w:type="dxa"/>
            <w:vMerge/>
          </w:tcPr>
          <w:p w:rsidR="0006782D" w:rsidRDefault="0006782D"/>
        </w:tc>
        <w:tc>
          <w:tcPr>
            <w:tcW w:w="1361" w:type="dxa"/>
            <w:vAlign w:val="center"/>
          </w:tcPr>
          <w:p w:rsidR="0006782D" w:rsidRDefault="0006782D">
            <w:pPr>
              <w:pStyle w:val="ConsPlusNormal"/>
              <w:jc w:val="center"/>
            </w:pPr>
            <w:r>
              <w:t>-</w:t>
            </w:r>
          </w:p>
        </w:tc>
      </w:tr>
      <w:tr w:rsidR="0006782D" w:rsidTr="0006782D">
        <w:trPr>
          <w:jc w:val="center"/>
        </w:trPr>
        <w:tc>
          <w:tcPr>
            <w:tcW w:w="907" w:type="dxa"/>
            <w:vAlign w:val="center"/>
          </w:tcPr>
          <w:p w:rsidR="0006782D" w:rsidRDefault="0006782D">
            <w:pPr>
              <w:pStyle w:val="ConsPlusNormal"/>
              <w:jc w:val="center"/>
            </w:pPr>
            <w:r>
              <w:t>4.6.</w:t>
            </w:r>
          </w:p>
        </w:tc>
        <w:tc>
          <w:tcPr>
            <w:tcW w:w="5046" w:type="dxa"/>
            <w:vAlign w:val="center"/>
          </w:tcPr>
          <w:p w:rsidR="0006782D" w:rsidRDefault="0006782D">
            <w:pPr>
              <w:pStyle w:val="ConsPlusNormal"/>
            </w:pPr>
            <w:r>
              <w:t>400 мм и выше</w:t>
            </w:r>
          </w:p>
        </w:tc>
        <w:tc>
          <w:tcPr>
            <w:tcW w:w="1701" w:type="dxa"/>
            <w:vMerge/>
          </w:tcPr>
          <w:p w:rsidR="0006782D" w:rsidRDefault="0006782D"/>
        </w:tc>
        <w:tc>
          <w:tcPr>
            <w:tcW w:w="1361" w:type="dxa"/>
            <w:vAlign w:val="center"/>
          </w:tcPr>
          <w:p w:rsidR="0006782D" w:rsidRDefault="0006782D">
            <w:pPr>
              <w:pStyle w:val="ConsPlusNormal"/>
              <w:jc w:val="center"/>
            </w:pPr>
            <w:r>
              <w:t>-</w:t>
            </w:r>
          </w:p>
        </w:tc>
      </w:tr>
      <w:tr w:rsidR="0006782D" w:rsidTr="0006782D">
        <w:trPr>
          <w:jc w:val="center"/>
        </w:trPr>
        <w:tc>
          <w:tcPr>
            <w:tcW w:w="907" w:type="dxa"/>
            <w:vAlign w:val="center"/>
          </w:tcPr>
          <w:p w:rsidR="0006782D" w:rsidRDefault="0006782D">
            <w:pPr>
              <w:pStyle w:val="ConsPlusNormal"/>
              <w:jc w:val="center"/>
            </w:pPr>
            <w:r>
              <w:t>5.</w:t>
            </w:r>
          </w:p>
        </w:tc>
        <w:tc>
          <w:tcPr>
            <w:tcW w:w="5046" w:type="dxa"/>
            <w:vAlign w:val="center"/>
          </w:tcPr>
          <w:p w:rsidR="0006782D" w:rsidRDefault="0006782D">
            <w:pPr>
              <w:pStyle w:val="ConsPlusNormal"/>
              <w:jc w:val="both"/>
            </w:pPr>
            <w:proofErr w:type="gramStart"/>
            <w:r>
              <w:t>Стандартизированная тарифная ставка С</w:t>
            </w:r>
            <w:r>
              <w:rPr>
                <w:vertAlign w:val="subscript"/>
              </w:rPr>
              <w:t>5</w:t>
            </w:r>
            <w:r>
              <w:t xml:space="preserve"> на покрытие расходов газораспределительных организаций, связанных со строительством (реконструкцией) газопроводов,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газораспределительных организаций, составляет 150 метров и менее (в базовых ценах 2001 года без НДС, с налогом на прибыль)</w:t>
            </w:r>
            <w:proofErr w:type="gramEnd"/>
          </w:p>
        </w:tc>
        <w:tc>
          <w:tcPr>
            <w:tcW w:w="1701" w:type="dxa"/>
            <w:vAlign w:val="center"/>
          </w:tcPr>
          <w:p w:rsidR="0006782D" w:rsidRDefault="0006782D">
            <w:pPr>
              <w:pStyle w:val="ConsPlusNormal"/>
              <w:jc w:val="center"/>
            </w:pPr>
            <w:r>
              <w:t>руб./м</w:t>
            </w:r>
            <w:r>
              <w:rPr>
                <w:vertAlign w:val="superscript"/>
              </w:rPr>
              <w:t>3</w:t>
            </w:r>
            <w:r>
              <w:t xml:space="preserve"> в час</w:t>
            </w:r>
          </w:p>
        </w:tc>
        <w:tc>
          <w:tcPr>
            <w:tcW w:w="1361" w:type="dxa"/>
            <w:vAlign w:val="center"/>
          </w:tcPr>
          <w:p w:rsidR="0006782D" w:rsidRDefault="0006782D">
            <w:pPr>
              <w:pStyle w:val="ConsPlusNormal"/>
              <w:jc w:val="center"/>
            </w:pPr>
            <w:r>
              <w:t>8760,00</w:t>
            </w:r>
          </w:p>
        </w:tc>
      </w:tr>
      <w:tr w:rsidR="0006782D" w:rsidTr="0006782D">
        <w:trPr>
          <w:jc w:val="center"/>
        </w:trPr>
        <w:tc>
          <w:tcPr>
            <w:tcW w:w="907" w:type="dxa"/>
            <w:vAlign w:val="center"/>
          </w:tcPr>
          <w:p w:rsidR="0006782D" w:rsidRDefault="0006782D">
            <w:pPr>
              <w:pStyle w:val="ConsPlusNormal"/>
              <w:jc w:val="center"/>
            </w:pPr>
            <w:r>
              <w:t>6.</w:t>
            </w:r>
          </w:p>
        </w:tc>
        <w:tc>
          <w:tcPr>
            <w:tcW w:w="8108" w:type="dxa"/>
            <w:gridSpan w:val="3"/>
            <w:vAlign w:val="center"/>
          </w:tcPr>
          <w:p w:rsidR="0006782D" w:rsidRDefault="0006782D">
            <w:pPr>
              <w:pStyle w:val="ConsPlusNormal"/>
              <w:jc w:val="both"/>
            </w:pPr>
            <w:r>
              <w:t>Стандартизированная тарифная ставка С</w:t>
            </w:r>
            <w:proofErr w:type="gramStart"/>
            <w:r>
              <w:rPr>
                <w:vertAlign w:val="subscript"/>
              </w:rPr>
              <w:t>6</w:t>
            </w:r>
            <w:proofErr w:type="gramEnd"/>
            <w:r>
              <w:t xml:space="preserve"> на покрытие расходов газораспределительных организаций, связанных со строительством (реконструкцией) газорегуляторных пунктов (в базовых ценах 2001 года без НДС, с налогом на прибыль), в том числе по диапазонам максимального часового расхода газа:</w:t>
            </w:r>
          </w:p>
        </w:tc>
      </w:tr>
      <w:tr w:rsidR="0006782D" w:rsidTr="0006782D">
        <w:trPr>
          <w:jc w:val="center"/>
        </w:trPr>
        <w:tc>
          <w:tcPr>
            <w:tcW w:w="907" w:type="dxa"/>
            <w:vAlign w:val="center"/>
          </w:tcPr>
          <w:p w:rsidR="0006782D" w:rsidRDefault="0006782D">
            <w:pPr>
              <w:pStyle w:val="ConsPlusNormal"/>
              <w:jc w:val="center"/>
            </w:pPr>
            <w:r>
              <w:lastRenderedPageBreak/>
              <w:t>6.1.</w:t>
            </w:r>
          </w:p>
        </w:tc>
        <w:tc>
          <w:tcPr>
            <w:tcW w:w="5046" w:type="dxa"/>
          </w:tcPr>
          <w:p w:rsidR="0006782D" w:rsidRDefault="0006782D">
            <w:pPr>
              <w:pStyle w:val="ConsPlusNormal"/>
            </w:pPr>
            <w:r>
              <w:t>до 40 куб. метров в час</w:t>
            </w:r>
          </w:p>
        </w:tc>
        <w:tc>
          <w:tcPr>
            <w:tcW w:w="1701" w:type="dxa"/>
            <w:vMerge w:val="restart"/>
            <w:vAlign w:val="center"/>
          </w:tcPr>
          <w:p w:rsidR="0006782D" w:rsidRDefault="0006782D">
            <w:pPr>
              <w:pStyle w:val="ConsPlusNormal"/>
              <w:jc w:val="center"/>
            </w:pPr>
            <w:r>
              <w:t>руб./м</w:t>
            </w:r>
            <w:r>
              <w:rPr>
                <w:vertAlign w:val="superscript"/>
              </w:rPr>
              <w:t>3</w:t>
            </w:r>
            <w:r>
              <w:t xml:space="preserve"> в час</w:t>
            </w:r>
          </w:p>
        </w:tc>
        <w:tc>
          <w:tcPr>
            <w:tcW w:w="1361" w:type="dxa"/>
            <w:vAlign w:val="center"/>
          </w:tcPr>
          <w:p w:rsidR="0006782D" w:rsidRDefault="0006782D">
            <w:pPr>
              <w:pStyle w:val="ConsPlusNormal"/>
              <w:jc w:val="center"/>
            </w:pPr>
            <w:r>
              <w:t>8958,55</w:t>
            </w:r>
          </w:p>
        </w:tc>
      </w:tr>
      <w:tr w:rsidR="0006782D" w:rsidTr="0006782D">
        <w:trPr>
          <w:jc w:val="center"/>
        </w:trPr>
        <w:tc>
          <w:tcPr>
            <w:tcW w:w="907" w:type="dxa"/>
            <w:vAlign w:val="center"/>
          </w:tcPr>
          <w:p w:rsidR="0006782D" w:rsidRDefault="0006782D">
            <w:pPr>
              <w:pStyle w:val="ConsPlusNormal"/>
              <w:jc w:val="center"/>
            </w:pPr>
            <w:r>
              <w:t>6.2.</w:t>
            </w:r>
          </w:p>
        </w:tc>
        <w:tc>
          <w:tcPr>
            <w:tcW w:w="5046" w:type="dxa"/>
          </w:tcPr>
          <w:p w:rsidR="0006782D" w:rsidRDefault="0006782D">
            <w:pPr>
              <w:pStyle w:val="ConsPlusNormal"/>
            </w:pPr>
            <w:r>
              <w:t>40 - 99 куб. метров в час</w:t>
            </w:r>
          </w:p>
        </w:tc>
        <w:tc>
          <w:tcPr>
            <w:tcW w:w="1701" w:type="dxa"/>
            <w:vMerge/>
          </w:tcPr>
          <w:p w:rsidR="0006782D" w:rsidRDefault="0006782D"/>
        </w:tc>
        <w:tc>
          <w:tcPr>
            <w:tcW w:w="1361" w:type="dxa"/>
            <w:vAlign w:val="center"/>
          </w:tcPr>
          <w:p w:rsidR="0006782D" w:rsidRDefault="0006782D">
            <w:pPr>
              <w:pStyle w:val="ConsPlusNormal"/>
              <w:jc w:val="center"/>
            </w:pPr>
            <w:r>
              <w:t>0,00</w:t>
            </w:r>
          </w:p>
        </w:tc>
      </w:tr>
      <w:tr w:rsidR="0006782D" w:rsidTr="0006782D">
        <w:trPr>
          <w:jc w:val="center"/>
        </w:trPr>
        <w:tc>
          <w:tcPr>
            <w:tcW w:w="907" w:type="dxa"/>
            <w:vAlign w:val="center"/>
          </w:tcPr>
          <w:p w:rsidR="0006782D" w:rsidRDefault="0006782D">
            <w:pPr>
              <w:pStyle w:val="ConsPlusNormal"/>
              <w:jc w:val="center"/>
            </w:pPr>
            <w:r>
              <w:t>6.3.</w:t>
            </w:r>
          </w:p>
        </w:tc>
        <w:tc>
          <w:tcPr>
            <w:tcW w:w="5046" w:type="dxa"/>
          </w:tcPr>
          <w:p w:rsidR="0006782D" w:rsidRDefault="0006782D">
            <w:pPr>
              <w:pStyle w:val="ConsPlusNormal"/>
            </w:pPr>
            <w:r>
              <w:t>100 - 399 куб. метров в час</w:t>
            </w:r>
          </w:p>
        </w:tc>
        <w:tc>
          <w:tcPr>
            <w:tcW w:w="1701" w:type="dxa"/>
            <w:vMerge/>
          </w:tcPr>
          <w:p w:rsidR="0006782D" w:rsidRDefault="0006782D"/>
        </w:tc>
        <w:tc>
          <w:tcPr>
            <w:tcW w:w="1361" w:type="dxa"/>
            <w:vAlign w:val="center"/>
          </w:tcPr>
          <w:p w:rsidR="0006782D" w:rsidRDefault="0006782D">
            <w:pPr>
              <w:pStyle w:val="ConsPlusNormal"/>
              <w:jc w:val="center"/>
            </w:pPr>
            <w:r>
              <w:t>529,43</w:t>
            </w:r>
          </w:p>
        </w:tc>
      </w:tr>
      <w:tr w:rsidR="0006782D" w:rsidTr="0006782D">
        <w:trPr>
          <w:jc w:val="center"/>
        </w:trPr>
        <w:tc>
          <w:tcPr>
            <w:tcW w:w="907" w:type="dxa"/>
            <w:vAlign w:val="center"/>
          </w:tcPr>
          <w:p w:rsidR="0006782D" w:rsidRDefault="0006782D">
            <w:pPr>
              <w:pStyle w:val="ConsPlusNormal"/>
              <w:jc w:val="center"/>
            </w:pPr>
            <w:r>
              <w:t>6.4.</w:t>
            </w:r>
          </w:p>
        </w:tc>
        <w:tc>
          <w:tcPr>
            <w:tcW w:w="5046" w:type="dxa"/>
          </w:tcPr>
          <w:p w:rsidR="0006782D" w:rsidRDefault="0006782D">
            <w:pPr>
              <w:pStyle w:val="ConsPlusNormal"/>
            </w:pPr>
            <w:r>
              <w:t>400 - 999 куб. метров в час</w:t>
            </w:r>
          </w:p>
        </w:tc>
        <w:tc>
          <w:tcPr>
            <w:tcW w:w="1701" w:type="dxa"/>
            <w:vMerge/>
          </w:tcPr>
          <w:p w:rsidR="0006782D" w:rsidRDefault="0006782D"/>
        </w:tc>
        <w:tc>
          <w:tcPr>
            <w:tcW w:w="1361" w:type="dxa"/>
            <w:vAlign w:val="center"/>
          </w:tcPr>
          <w:p w:rsidR="0006782D" w:rsidRDefault="0006782D">
            <w:pPr>
              <w:pStyle w:val="ConsPlusNormal"/>
              <w:jc w:val="center"/>
            </w:pPr>
            <w:r>
              <w:t>160,00</w:t>
            </w:r>
          </w:p>
        </w:tc>
      </w:tr>
      <w:tr w:rsidR="0006782D" w:rsidTr="0006782D">
        <w:trPr>
          <w:jc w:val="center"/>
        </w:trPr>
        <w:tc>
          <w:tcPr>
            <w:tcW w:w="907" w:type="dxa"/>
            <w:vAlign w:val="center"/>
          </w:tcPr>
          <w:p w:rsidR="0006782D" w:rsidRDefault="0006782D">
            <w:pPr>
              <w:pStyle w:val="ConsPlusNormal"/>
              <w:jc w:val="center"/>
            </w:pPr>
            <w:r>
              <w:t>7.</w:t>
            </w:r>
          </w:p>
        </w:tc>
        <w:tc>
          <w:tcPr>
            <w:tcW w:w="5046" w:type="dxa"/>
            <w:vAlign w:val="center"/>
          </w:tcPr>
          <w:p w:rsidR="0006782D" w:rsidRDefault="0006782D">
            <w:pPr>
              <w:pStyle w:val="ConsPlusNormal"/>
              <w:jc w:val="both"/>
            </w:pPr>
            <w:r>
              <w:t>Стандартизированная тарифная ставка С</w:t>
            </w:r>
            <w:proofErr w:type="gramStart"/>
            <w:r>
              <w:rPr>
                <w:vertAlign w:val="subscript"/>
              </w:rPr>
              <w:t>7</w:t>
            </w:r>
            <w:proofErr w:type="gramEnd"/>
            <w:r>
              <w:t xml:space="preserve"> на покрытие расходов газораспределительных организаций, связанных со строительством (реконструкцией) станций катодной защиты (в базовых ценах 2001 года без НДС, с налогом на прибыль)</w:t>
            </w:r>
          </w:p>
        </w:tc>
        <w:tc>
          <w:tcPr>
            <w:tcW w:w="1701" w:type="dxa"/>
            <w:vAlign w:val="center"/>
          </w:tcPr>
          <w:p w:rsidR="0006782D" w:rsidRDefault="0006782D">
            <w:pPr>
              <w:pStyle w:val="ConsPlusNormal"/>
              <w:jc w:val="center"/>
            </w:pPr>
            <w:r>
              <w:t>руб./м</w:t>
            </w:r>
            <w:r>
              <w:rPr>
                <w:vertAlign w:val="superscript"/>
              </w:rPr>
              <w:t>3</w:t>
            </w:r>
            <w:r>
              <w:t xml:space="preserve"> в час</w:t>
            </w:r>
          </w:p>
        </w:tc>
        <w:tc>
          <w:tcPr>
            <w:tcW w:w="1361" w:type="dxa"/>
            <w:vAlign w:val="center"/>
          </w:tcPr>
          <w:p w:rsidR="0006782D" w:rsidRDefault="0006782D">
            <w:pPr>
              <w:pStyle w:val="ConsPlusNormal"/>
              <w:jc w:val="center"/>
            </w:pPr>
            <w:r>
              <w:t>-</w:t>
            </w:r>
          </w:p>
        </w:tc>
      </w:tr>
      <w:tr w:rsidR="0006782D" w:rsidTr="0006782D">
        <w:trPr>
          <w:jc w:val="center"/>
        </w:trPr>
        <w:tc>
          <w:tcPr>
            <w:tcW w:w="907" w:type="dxa"/>
            <w:vAlign w:val="center"/>
          </w:tcPr>
          <w:p w:rsidR="0006782D" w:rsidRDefault="0006782D">
            <w:pPr>
              <w:pStyle w:val="ConsPlusNormal"/>
              <w:jc w:val="center"/>
            </w:pPr>
            <w:r>
              <w:t>8.</w:t>
            </w:r>
          </w:p>
        </w:tc>
        <w:tc>
          <w:tcPr>
            <w:tcW w:w="8108" w:type="dxa"/>
            <w:gridSpan w:val="3"/>
            <w:vAlign w:val="center"/>
          </w:tcPr>
          <w:p w:rsidR="0006782D" w:rsidRDefault="0006782D">
            <w:pPr>
              <w:pStyle w:val="ConsPlusNormal"/>
              <w:jc w:val="both"/>
            </w:pPr>
            <w:proofErr w:type="gramStart"/>
            <w:r>
              <w:t>Стандартизированная тарифная ставка С</w:t>
            </w:r>
            <w:r>
              <w:rPr>
                <w:vertAlign w:val="subscript"/>
              </w:rPr>
              <w:t>8</w:t>
            </w:r>
            <w:r>
              <w:t xml:space="preserve"> на покрытие расходов газораспределительных организаций,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к сети газораспределения, и проведением пуска газа (в текущих ценах без НДС, с налогом на прибыль):</w:t>
            </w:r>
            <w:proofErr w:type="gramEnd"/>
          </w:p>
        </w:tc>
      </w:tr>
      <w:tr w:rsidR="0006782D" w:rsidTr="0006782D">
        <w:trPr>
          <w:jc w:val="center"/>
        </w:trPr>
        <w:tc>
          <w:tcPr>
            <w:tcW w:w="907" w:type="dxa"/>
            <w:vAlign w:val="center"/>
          </w:tcPr>
          <w:p w:rsidR="0006782D" w:rsidRDefault="0006782D">
            <w:pPr>
              <w:pStyle w:val="ConsPlusNormal"/>
              <w:jc w:val="center"/>
            </w:pPr>
            <w:r>
              <w:t>8.1.</w:t>
            </w:r>
          </w:p>
        </w:tc>
        <w:tc>
          <w:tcPr>
            <w:tcW w:w="8108" w:type="dxa"/>
            <w:gridSpan w:val="3"/>
            <w:vAlign w:val="center"/>
          </w:tcPr>
          <w:p w:rsidR="0006782D" w:rsidRDefault="0006782D">
            <w:pPr>
              <w:pStyle w:val="ConsPlusNormal"/>
              <w:jc w:val="both"/>
            </w:pPr>
            <w:r>
              <w:t>В случаях капитального строительства от границы земельного участка Заявителя до сети газораспределения газораспределительных организаций</w:t>
            </w:r>
          </w:p>
        </w:tc>
      </w:tr>
      <w:tr w:rsidR="0006782D" w:rsidTr="0006782D">
        <w:trPr>
          <w:jc w:val="center"/>
        </w:trPr>
        <w:tc>
          <w:tcPr>
            <w:tcW w:w="907" w:type="dxa"/>
            <w:vAlign w:val="center"/>
          </w:tcPr>
          <w:p w:rsidR="0006782D" w:rsidRDefault="0006782D">
            <w:pPr>
              <w:pStyle w:val="ConsPlusNormal"/>
              <w:jc w:val="center"/>
            </w:pPr>
            <w:r>
              <w:t>8.1.1.</w:t>
            </w:r>
          </w:p>
        </w:tc>
        <w:tc>
          <w:tcPr>
            <w:tcW w:w="8108" w:type="dxa"/>
            <w:gridSpan w:val="3"/>
            <w:vAlign w:val="center"/>
          </w:tcPr>
          <w:p w:rsidR="0006782D" w:rsidRDefault="0006782D">
            <w:pPr>
              <w:pStyle w:val="ConsPlusNormal"/>
              <w:jc w:val="both"/>
            </w:pPr>
            <w:r>
              <w:t>Стальные газопроводы, в том числе по диаметрам строящихся (реконструируемых) газопроводов:</w:t>
            </w:r>
          </w:p>
        </w:tc>
      </w:tr>
      <w:tr w:rsidR="0006782D" w:rsidTr="0006782D">
        <w:trPr>
          <w:jc w:val="center"/>
        </w:trPr>
        <w:tc>
          <w:tcPr>
            <w:tcW w:w="907" w:type="dxa"/>
            <w:vAlign w:val="center"/>
          </w:tcPr>
          <w:p w:rsidR="0006782D" w:rsidRDefault="0006782D">
            <w:pPr>
              <w:pStyle w:val="ConsPlusNormal"/>
              <w:jc w:val="center"/>
            </w:pPr>
            <w:r>
              <w:t>8.1.1.1.</w:t>
            </w:r>
          </w:p>
        </w:tc>
        <w:tc>
          <w:tcPr>
            <w:tcW w:w="5046" w:type="dxa"/>
            <w:vAlign w:val="center"/>
          </w:tcPr>
          <w:p w:rsidR="0006782D" w:rsidRDefault="0006782D">
            <w:pPr>
              <w:pStyle w:val="ConsPlusNormal"/>
            </w:pPr>
            <w:r>
              <w:t>158 мм и менее</w:t>
            </w:r>
          </w:p>
        </w:tc>
        <w:tc>
          <w:tcPr>
            <w:tcW w:w="1701" w:type="dxa"/>
            <w:vMerge w:val="restart"/>
            <w:vAlign w:val="center"/>
          </w:tcPr>
          <w:p w:rsidR="0006782D" w:rsidRDefault="0006782D">
            <w:pPr>
              <w:pStyle w:val="ConsPlusNormal"/>
              <w:jc w:val="center"/>
            </w:pPr>
            <w:r>
              <w:t>рублей за 1 присоединение</w:t>
            </w:r>
          </w:p>
        </w:tc>
        <w:tc>
          <w:tcPr>
            <w:tcW w:w="1361" w:type="dxa"/>
            <w:vAlign w:val="center"/>
          </w:tcPr>
          <w:p w:rsidR="0006782D" w:rsidRDefault="0006782D">
            <w:pPr>
              <w:pStyle w:val="ConsPlusNormal"/>
              <w:jc w:val="center"/>
            </w:pPr>
            <w:r>
              <w:t>27723</w:t>
            </w:r>
          </w:p>
        </w:tc>
      </w:tr>
      <w:tr w:rsidR="0006782D" w:rsidTr="0006782D">
        <w:trPr>
          <w:jc w:val="center"/>
        </w:trPr>
        <w:tc>
          <w:tcPr>
            <w:tcW w:w="907" w:type="dxa"/>
            <w:vAlign w:val="center"/>
          </w:tcPr>
          <w:p w:rsidR="0006782D" w:rsidRDefault="0006782D">
            <w:pPr>
              <w:pStyle w:val="ConsPlusNormal"/>
              <w:jc w:val="center"/>
            </w:pPr>
            <w:r>
              <w:t>8.1.1.2.</w:t>
            </w:r>
          </w:p>
        </w:tc>
        <w:tc>
          <w:tcPr>
            <w:tcW w:w="5046" w:type="dxa"/>
            <w:vAlign w:val="center"/>
          </w:tcPr>
          <w:p w:rsidR="0006782D" w:rsidRDefault="0006782D">
            <w:pPr>
              <w:pStyle w:val="ConsPlusNormal"/>
            </w:pPr>
            <w:r>
              <w:t>159 - 218 мм</w:t>
            </w:r>
          </w:p>
        </w:tc>
        <w:tc>
          <w:tcPr>
            <w:tcW w:w="1701" w:type="dxa"/>
            <w:vMerge/>
          </w:tcPr>
          <w:p w:rsidR="0006782D" w:rsidRDefault="0006782D"/>
        </w:tc>
        <w:tc>
          <w:tcPr>
            <w:tcW w:w="1361" w:type="dxa"/>
            <w:vAlign w:val="center"/>
          </w:tcPr>
          <w:p w:rsidR="0006782D" w:rsidRDefault="0006782D">
            <w:pPr>
              <w:pStyle w:val="ConsPlusNormal"/>
              <w:jc w:val="center"/>
            </w:pPr>
            <w:r>
              <w:t>27723</w:t>
            </w:r>
          </w:p>
        </w:tc>
      </w:tr>
      <w:tr w:rsidR="0006782D" w:rsidTr="0006782D">
        <w:trPr>
          <w:jc w:val="center"/>
        </w:trPr>
        <w:tc>
          <w:tcPr>
            <w:tcW w:w="907" w:type="dxa"/>
            <w:vAlign w:val="center"/>
          </w:tcPr>
          <w:p w:rsidR="0006782D" w:rsidRDefault="0006782D">
            <w:pPr>
              <w:pStyle w:val="ConsPlusNormal"/>
              <w:jc w:val="center"/>
            </w:pPr>
            <w:r>
              <w:t>8.1.1.3.</w:t>
            </w:r>
          </w:p>
        </w:tc>
        <w:tc>
          <w:tcPr>
            <w:tcW w:w="5046" w:type="dxa"/>
            <w:vAlign w:val="center"/>
          </w:tcPr>
          <w:p w:rsidR="0006782D" w:rsidRDefault="0006782D">
            <w:pPr>
              <w:pStyle w:val="ConsPlusNormal"/>
            </w:pPr>
            <w:r>
              <w:t>219 - 272 мм</w:t>
            </w:r>
          </w:p>
        </w:tc>
        <w:tc>
          <w:tcPr>
            <w:tcW w:w="1701" w:type="dxa"/>
            <w:vMerge/>
          </w:tcPr>
          <w:p w:rsidR="0006782D" w:rsidRDefault="0006782D"/>
        </w:tc>
        <w:tc>
          <w:tcPr>
            <w:tcW w:w="1361" w:type="dxa"/>
            <w:vAlign w:val="center"/>
          </w:tcPr>
          <w:p w:rsidR="0006782D" w:rsidRDefault="0006782D">
            <w:pPr>
              <w:pStyle w:val="ConsPlusNormal"/>
              <w:jc w:val="center"/>
            </w:pPr>
            <w:r>
              <w:t>28748</w:t>
            </w:r>
          </w:p>
        </w:tc>
      </w:tr>
      <w:tr w:rsidR="0006782D" w:rsidTr="0006782D">
        <w:trPr>
          <w:jc w:val="center"/>
        </w:trPr>
        <w:tc>
          <w:tcPr>
            <w:tcW w:w="907" w:type="dxa"/>
            <w:vAlign w:val="center"/>
          </w:tcPr>
          <w:p w:rsidR="0006782D" w:rsidRDefault="0006782D">
            <w:pPr>
              <w:pStyle w:val="ConsPlusNormal"/>
              <w:jc w:val="center"/>
            </w:pPr>
            <w:r>
              <w:t>8.1.1.4.</w:t>
            </w:r>
          </w:p>
        </w:tc>
        <w:tc>
          <w:tcPr>
            <w:tcW w:w="5046" w:type="dxa"/>
            <w:vAlign w:val="center"/>
          </w:tcPr>
          <w:p w:rsidR="0006782D" w:rsidRDefault="0006782D">
            <w:pPr>
              <w:pStyle w:val="ConsPlusNormal"/>
            </w:pPr>
            <w:r>
              <w:t>273 - 324 мм</w:t>
            </w:r>
          </w:p>
        </w:tc>
        <w:tc>
          <w:tcPr>
            <w:tcW w:w="1701" w:type="dxa"/>
            <w:vMerge/>
          </w:tcPr>
          <w:p w:rsidR="0006782D" w:rsidRDefault="0006782D"/>
        </w:tc>
        <w:tc>
          <w:tcPr>
            <w:tcW w:w="1361" w:type="dxa"/>
            <w:vAlign w:val="center"/>
          </w:tcPr>
          <w:p w:rsidR="0006782D" w:rsidRDefault="0006782D">
            <w:pPr>
              <w:pStyle w:val="ConsPlusNormal"/>
              <w:jc w:val="center"/>
            </w:pPr>
            <w:r>
              <w:t>28748</w:t>
            </w:r>
          </w:p>
        </w:tc>
      </w:tr>
      <w:tr w:rsidR="0006782D" w:rsidTr="0006782D">
        <w:trPr>
          <w:jc w:val="center"/>
        </w:trPr>
        <w:tc>
          <w:tcPr>
            <w:tcW w:w="907" w:type="dxa"/>
            <w:vAlign w:val="center"/>
          </w:tcPr>
          <w:p w:rsidR="0006782D" w:rsidRDefault="0006782D">
            <w:pPr>
              <w:pStyle w:val="ConsPlusNormal"/>
              <w:jc w:val="center"/>
            </w:pPr>
            <w:r>
              <w:t>8.1.1.5.</w:t>
            </w:r>
          </w:p>
        </w:tc>
        <w:tc>
          <w:tcPr>
            <w:tcW w:w="5046" w:type="dxa"/>
            <w:vAlign w:val="center"/>
          </w:tcPr>
          <w:p w:rsidR="0006782D" w:rsidRDefault="0006782D">
            <w:pPr>
              <w:pStyle w:val="ConsPlusNormal"/>
            </w:pPr>
            <w:r>
              <w:t>325 - 425 мм</w:t>
            </w:r>
          </w:p>
        </w:tc>
        <w:tc>
          <w:tcPr>
            <w:tcW w:w="1701" w:type="dxa"/>
            <w:vMerge/>
          </w:tcPr>
          <w:p w:rsidR="0006782D" w:rsidRDefault="0006782D"/>
        </w:tc>
        <w:tc>
          <w:tcPr>
            <w:tcW w:w="1361" w:type="dxa"/>
            <w:vAlign w:val="center"/>
          </w:tcPr>
          <w:p w:rsidR="0006782D" w:rsidRDefault="0006782D">
            <w:pPr>
              <w:pStyle w:val="ConsPlusNormal"/>
              <w:jc w:val="center"/>
            </w:pPr>
            <w:r>
              <w:t>32861</w:t>
            </w:r>
          </w:p>
        </w:tc>
      </w:tr>
      <w:tr w:rsidR="0006782D" w:rsidTr="0006782D">
        <w:trPr>
          <w:jc w:val="center"/>
        </w:trPr>
        <w:tc>
          <w:tcPr>
            <w:tcW w:w="907" w:type="dxa"/>
            <w:vAlign w:val="center"/>
          </w:tcPr>
          <w:p w:rsidR="0006782D" w:rsidRDefault="0006782D">
            <w:pPr>
              <w:pStyle w:val="ConsPlusNormal"/>
              <w:jc w:val="center"/>
            </w:pPr>
            <w:r>
              <w:t>8.1.1.6.</w:t>
            </w:r>
          </w:p>
        </w:tc>
        <w:tc>
          <w:tcPr>
            <w:tcW w:w="5046" w:type="dxa"/>
            <w:vAlign w:val="center"/>
          </w:tcPr>
          <w:p w:rsidR="0006782D" w:rsidRDefault="0006782D">
            <w:pPr>
              <w:pStyle w:val="ConsPlusNormal"/>
            </w:pPr>
            <w:r>
              <w:t>426 - 529 мм</w:t>
            </w:r>
          </w:p>
        </w:tc>
        <w:tc>
          <w:tcPr>
            <w:tcW w:w="1701" w:type="dxa"/>
            <w:vMerge/>
          </w:tcPr>
          <w:p w:rsidR="0006782D" w:rsidRDefault="0006782D"/>
        </w:tc>
        <w:tc>
          <w:tcPr>
            <w:tcW w:w="1361" w:type="dxa"/>
            <w:vAlign w:val="center"/>
          </w:tcPr>
          <w:p w:rsidR="0006782D" w:rsidRDefault="0006782D">
            <w:pPr>
              <w:pStyle w:val="ConsPlusNormal"/>
              <w:jc w:val="center"/>
            </w:pPr>
            <w:r>
              <w:t>35173</w:t>
            </w:r>
          </w:p>
        </w:tc>
      </w:tr>
      <w:tr w:rsidR="0006782D" w:rsidTr="0006782D">
        <w:trPr>
          <w:jc w:val="center"/>
        </w:trPr>
        <w:tc>
          <w:tcPr>
            <w:tcW w:w="907" w:type="dxa"/>
            <w:vAlign w:val="center"/>
          </w:tcPr>
          <w:p w:rsidR="0006782D" w:rsidRDefault="0006782D">
            <w:pPr>
              <w:pStyle w:val="ConsPlusNormal"/>
              <w:jc w:val="center"/>
            </w:pPr>
            <w:r>
              <w:t>8.1.1.7.</w:t>
            </w:r>
          </w:p>
        </w:tc>
        <w:tc>
          <w:tcPr>
            <w:tcW w:w="5046" w:type="dxa"/>
            <w:vAlign w:val="center"/>
          </w:tcPr>
          <w:p w:rsidR="0006782D" w:rsidRDefault="0006782D">
            <w:pPr>
              <w:pStyle w:val="ConsPlusNormal"/>
            </w:pPr>
            <w:r>
              <w:t>530 мм и выше</w:t>
            </w:r>
          </w:p>
        </w:tc>
        <w:tc>
          <w:tcPr>
            <w:tcW w:w="1701" w:type="dxa"/>
            <w:vMerge/>
          </w:tcPr>
          <w:p w:rsidR="0006782D" w:rsidRDefault="0006782D"/>
        </w:tc>
        <w:tc>
          <w:tcPr>
            <w:tcW w:w="1361" w:type="dxa"/>
            <w:vAlign w:val="center"/>
          </w:tcPr>
          <w:p w:rsidR="0006782D" w:rsidRDefault="0006782D">
            <w:pPr>
              <w:pStyle w:val="ConsPlusNormal"/>
              <w:jc w:val="center"/>
            </w:pPr>
            <w:r>
              <w:t>38048</w:t>
            </w:r>
          </w:p>
        </w:tc>
      </w:tr>
      <w:tr w:rsidR="0006782D" w:rsidTr="0006782D">
        <w:trPr>
          <w:jc w:val="center"/>
        </w:trPr>
        <w:tc>
          <w:tcPr>
            <w:tcW w:w="907" w:type="dxa"/>
            <w:vAlign w:val="center"/>
          </w:tcPr>
          <w:p w:rsidR="0006782D" w:rsidRDefault="0006782D">
            <w:pPr>
              <w:pStyle w:val="ConsPlusNormal"/>
              <w:jc w:val="center"/>
            </w:pPr>
            <w:r>
              <w:t>8.1.2.</w:t>
            </w:r>
          </w:p>
        </w:tc>
        <w:tc>
          <w:tcPr>
            <w:tcW w:w="8108" w:type="dxa"/>
            <w:gridSpan w:val="3"/>
            <w:vAlign w:val="center"/>
          </w:tcPr>
          <w:p w:rsidR="0006782D" w:rsidRDefault="0006782D">
            <w:pPr>
              <w:pStyle w:val="ConsPlusNormal"/>
            </w:pPr>
            <w:r>
              <w:t>Полиэтиленовые газопроводы, в том числе по диаметрам строящихся (реконструируемых) газопроводов:</w:t>
            </w:r>
          </w:p>
        </w:tc>
      </w:tr>
      <w:tr w:rsidR="0006782D" w:rsidTr="0006782D">
        <w:trPr>
          <w:jc w:val="center"/>
        </w:trPr>
        <w:tc>
          <w:tcPr>
            <w:tcW w:w="907" w:type="dxa"/>
            <w:vAlign w:val="center"/>
          </w:tcPr>
          <w:p w:rsidR="0006782D" w:rsidRDefault="0006782D">
            <w:pPr>
              <w:pStyle w:val="ConsPlusNormal"/>
              <w:jc w:val="center"/>
            </w:pPr>
            <w:r>
              <w:t>8.1.2.1.</w:t>
            </w:r>
          </w:p>
        </w:tc>
        <w:tc>
          <w:tcPr>
            <w:tcW w:w="5046" w:type="dxa"/>
            <w:vAlign w:val="center"/>
          </w:tcPr>
          <w:p w:rsidR="0006782D" w:rsidRDefault="0006782D">
            <w:pPr>
              <w:pStyle w:val="ConsPlusNormal"/>
            </w:pPr>
            <w:r>
              <w:t>109 мм и менее</w:t>
            </w:r>
          </w:p>
        </w:tc>
        <w:tc>
          <w:tcPr>
            <w:tcW w:w="1701" w:type="dxa"/>
            <w:vMerge w:val="restart"/>
            <w:vAlign w:val="center"/>
          </w:tcPr>
          <w:p w:rsidR="0006782D" w:rsidRDefault="0006782D">
            <w:pPr>
              <w:pStyle w:val="ConsPlusNormal"/>
              <w:jc w:val="center"/>
            </w:pPr>
            <w:r>
              <w:t>рублей за 1 присоединение</w:t>
            </w:r>
          </w:p>
        </w:tc>
        <w:tc>
          <w:tcPr>
            <w:tcW w:w="1361" w:type="dxa"/>
            <w:vAlign w:val="center"/>
          </w:tcPr>
          <w:p w:rsidR="0006782D" w:rsidRDefault="0006782D">
            <w:pPr>
              <w:pStyle w:val="ConsPlusNormal"/>
              <w:jc w:val="center"/>
            </w:pPr>
            <w:r>
              <w:t>41795</w:t>
            </w:r>
          </w:p>
        </w:tc>
      </w:tr>
      <w:tr w:rsidR="0006782D" w:rsidTr="0006782D">
        <w:trPr>
          <w:jc w:val="center"/>
        </w:trPr>
        <w:tc>
          <w:tcPr>
            <w:tcW w:w="907" w:type="dxa"/>
            <w:vAlign w:val="center"/>
          </w:tcPr>
          <w:p w:rsidR="0006782D" w:rsidRDefault="0006782D">
            <w:pPr>
              <w:pStyle w:val="ConsPlusNormal"/>
              <w:jc w:val="center"/>
            </w:pPr>
            <w:r>
              <w:t>8.1.2.2.</w:t>
            </w:r>
          </w:p>
        </w:tc>
        <w:tc>
          <w:tcPr>
            <w:tcW w:w="5046" w:type="dxa"/>
            <w:vAlign w:val="center"/>
          </w:tcPr>
          <w:p w:rsidR="0006782D" w:rsidRDefault="0006782D">
            <w:pPr>
              <w:pStyle w:val="ConsPlusNormal"/>
            </w:pPr>
            <w:r>
              <w:t>110 - 159 мм</w:t>
            </w:r>
          </w:p>
        </w:tc>
        <w:tc>
          <w:tcPr>
            <w:tcW w:w="1701" w:type="dxa"/>
            <w:vMerge/>
          </w:tcPr>
          <w:p w:rsidR="0006782D" w:rsidRDefault="0006782D"/>
        </w:tc>
        <w:tc>
          <w:tcPr>
            <w:tcW w:w="1361" w:type="dxa"/>
            <w:vAlign w:val="center"/>
          </w:tcPr>
          <w:p w:rsidR="0006782D" w:rsidRDefault="0006782D">
            <w:pPr>
              <w:pStyle w:val="ConsPlusNormal"/>
              <w:jc w:val="center"/>
            </w:pPr>
            <w:r>
              <w:t>42620</w:t>
            </w:r>
          </w:p>
        </w:tc>
      </w:tr>
      <w:tr w:rsidR="0006782D" w:rsidTr="0006782D">
        <w:trPr>
          <w:jc w:val="center"/>
        </w:trPr>
        <w:tc>
          <w:tcPr>
            <w:tcW w:w="907" w:type="dxa"/>
            <w:vAlign w:val="center"/>
          </w:tcPr>
          <w:p w:rsidR="0006782D" w:rsidRDefault="0006782D">
            <w:pPr>
              <w:pStyle w:val="ConsPlusNormal"/>
              <w:jc w:val="center"/>
            </w:pPr>
            <w:r>
              <w:t>8.1.2.3.</w:t>
            </w:r>
          </w:p>
        </w:tc>
        <w:tc>
          <w:tcPr>
            <w:tcW w:w="5046" w:type="dxa"/>
            <w:vAlign w:val="center"/>
          </w:tcPr>
          <w:p w:rsidR="0006782D" w:rsidRDefault="0006782D">
            <w:pPr>
              <w:pStyle w:val="ConsPlusNormal"/>
            </w:pPr>
            <w:r>
              <w:t>160 - 224 мм</w:t>
            </w:r>
          </w:p>
        </w:tc>
        <w:tc>
          <w:tcPr>
            <w:tcW w:w="1701" w:type="dxa"/>
            <w:vMerge/>
          </w:tcPr>
          <w:p w:rsidR="0006782D" w:rsidRDefault="0006782D"/>
        </w:tc>
        <w:tc>
          <w:tcPr>
            <w:tcW w:w="1361" w:type="dxa"/>
            <w:vAlign w:val="center"/>
          </w:tcPr>
          <w:p w:rsidR="0006782D" w:rsidRDefault="0006782D">
            <w:pPr>
              <w:pStyle w:val="ConsPlusNormal"/>
              <w:jc w:val="center"/>
            </w:pPr>
            <w:r>
              <w:t>42620</w:t>
            </w:r>
          </w:p>
        </w:tc>
      </w:tr>
      <w:tr w:rsidR="0006782D" w:rsidTr="0006782D">
        <w:trPr>
          <w:jc w:val="center"/>
        </w:trPr>
        <w:tc>
          <w:tcPr>
            <w:tcW w:w="907" w:type="dxa"/>
            <w:vAlign w:val="center"/>
          </w:tcPr>
          <w:p w:rsidR="0006782D" w:rsidRDefault="0006782D">
            <w:pPr>
              <w:pStyle w:val="ConsPlusNormal"/>
              <w:jc w:val="center"/>
            </w:pPr>
            <w:r>
              <w:t>8.1.2.4.</w:t>
            </w:r>
          </w:p>
        </w:tc>
        <w:tc>
          <w:tcPr>
            <w:tcW w:w="5046" w:type="dxa"/>
            <w:vAlign w:val="center"/>
          </w:tcPr>
          <w:p w:rsidR="0006782D" w:rsidRDefault="0006782D">
            <w:pPr>
              <w:pStyle w:val="ConsPlusNormal"/>
            </w:pPr>
            <w:r>
              <w:t>225 - 314 мм</w:t>
            </w:r>
          </w:p>
        </w:tc>
        <w:tc>
          <w:tcPr>
            <w:tcW w:w="1701" w:type="dxa"/>
            <w:vMerge/>
          </w:tcPr>
          <w:p w:rsidR="0006782D" w:rsidRDefault="0006782D"/>
        </w:tc>
        <w:tc>
          <w:tcPr>
            <w:tcW w:w="1361" w:type="dxa"/>
            <w:vAlign w:val="center"/>
          </w:tcPr>
          <w:p w:rsidR="0006782D" w:rsidRDefault="0006782D">
            <w:pPr>
              <w:pStyle w:val="ConsPlusNormal"/>
              <w:jc w:val="center"/>
            </w:pPr>
            <w:r>
              <w:t>43895</w:t>
            </w:r>
          </w:p>
        </w:tc>
      </w:tr>
      <w:tr w:rsidR="0006782D" w:rsidTr="0006782D">
        <w:trPr>
          <w:jc w:val="center"/>
        </w:trPr>
        <w:tc>
          <w:tcPr>
            <w:tcW w:w="907" w:type="dxa"/>
            <w:vAlign w:val="center"/>
          </w:tcPr>
          <w:p w:rsidR="0006782D" w:rsidRDefault="0006782D">
            <w:pPr>
              <w:pStyle w:val="ConsPlusNormal"/>
              <w:jc w:val="center"/>
            </w:pPr>
            <w:r>
              <w:t>8.1.2.5.</w:t>
            </w:r>
          </w:p>
        </w:tc>
        <w:tc>
          <w:tcPr>
            <w:tcW w:w="5046" w:type="dxa"/>
            <w:vAlign w:val="center"/>
          </w:tcPr>
          <w:p w:rsidR="0006782D" w:rsidRDefault="0006782D">
            <w:pPr>
              <w:pStyle w:val="ConsPlusNormal"/>
            </w:pPr>
            <w:r>
              <w:t>315 - 399 мм</w:t>
            </w:r>
          </w:p>
        </w:tc>
        <w:tc>
          <w:tcPr>
            <w:tcW w:w="1701" w:type="dxa"/>
            <w:vMerge/>
          </w:tcPr>
          <w:p w:rsidR="0006782D" w:rsidRDefault="0006782D"/>
        </w:tc>
        <w:tc>
          <w:tcPr>
            <w:tcW w:w="1361" w:type="dxa"/>
            <w:vAlign w:val="center"/>
          </w:tcPr>
          <w:p w:rsidR="0006782D" w:rsidRDefault="0006782D">
            <w:pPr>
              <w:pStyle w:val="ConsPlusNormal"/>
              <w:jc w:val="center"/>
            </w:pPr>
            <w:r>
              <w:t>48220</w:t>
            </w:r>
          </w:p>
        </w:tc>
      </w:tr>
      <w:tr w:rsidR="0006782D" w:rsidTr="0006782D">
        <w:trPr>
          <w:jc w:val="center"/>
        </w:trPr>
        <w:tc>
          <w:tcPr>
            <w:tcW w:w="907" w:type="dxa"/>
            <w:vAlign w:val="center"/>
          </w:tcPr>
          <w:p w:rsidR="0006782D" w:rsidRDefault="0006782D">
            <w:pPr>
              <w:pStyle w:val="ConsPlusNormal"/>
              <w:jc w:val="center"/>
            </w:pPr>
            <w:r>
              <w:t>8.1.2.6.</w:t>
            </w:r>
          </w:p>
        </w:tc>
        <w:tc>
          <w:tcPr>
            <w:tcW w:w="5046" w:type="dxa"/>
            <w:vAlign w:val="center"/>
          </w:tcPr>
          <w:p w:rsidR="0006782D" w:rsidRDefault="0006782D">
            <w:pPr>
              <w:pStyle w:val="ConsPlusNormal"/>
            </w:pPr>
            <w:r>
              <w:t>400 мм и выше</w:t>
            </w:r>
          </w:p>
        </w:tc>
        <w:tc>
          <w:tcPr>
            <w:tcW w:w="1701" w:type="dxa"/>
            <w:vMerge/>
          </w:tcPr>
          <w:p w:rsidR="0006782D" w:rsidRDefault="0006782D"/>
        </w:tc>
        <w:tc>
          <w:tcPr>
            <w:tcW w:w="1361" w:type="dxa"/>
            <w:vAlign w:val="center"/>
          </w:tcPr>
          <w:p w:rsidR="0006782D" w:rsidRDefault="0006782D">
            <w:pPr>
              <w:pStyle w:val="ConsPlusNormal"/>
              <w:jc w:val="center"/>
            </w:pPr>
            <w:r>
              <w:t>50645</w:t>
            </w:r>
          </w:p>
        </w:tc>
      </w:tr>
      <w:tr w:rsidR="0006782D" w:rsidTr="0006782D">
        <w:trPr>
          <w:jc w:val="center"/>
        </w:trPr>
        <w:tc>
          <w:tcPr>
            <w:tcW w:w="907" w:type="dxa"/>
            <w:vAlign w:val="center"/>
          </w:tcPr>
          <w:p w:rsidR="0006782D" w:rsidRDefault="0006782D">
            <w:pPr>
              <w:pStyle w:val="ConsPlusNormal"/>
              <w:jc w:val="center"/>
            </w:pPr>
            <w:r>
              <w:lastRenderedPageBreak/>
              <w:t>8.2.</w:t>
            </w:r>
          </w:p>
        </w:tc>
        <w:tc>
          <w:tcPr>
            <w:tcW w:w="8108" w:type="dxa"/>
            <w:gridSpan w:val="3"/>
            <w:vAlign w:val="center"/>
          </w:tcPr>
          <w:p w:rsidR="0006782D" w:rsidRDefault="0006782D">
            <w:pPr>
              <w:pStyle w:val="ConsPlusNormal"/>
              <w:jc w:val="both"/>
            </w:pPr>
            <w:r>
              <w:t>В случаях осуществления фактического подключения (технологического присоединения) Заявителя к существующей сети газораспределения, находящейся в границах (на границе) земельного участка Заявителя</w:t>
            </w:r>
          </w:p>
        </w:tc>
      </w:tr>
      <w:tr w:rsidR="0006782D" w:rsidTr="0006782D">
        <w:trPr>
          <w:jc w:val="center"/>
        </w:trPr>
        <w:tc>
          <w:tcPr>
            <w:tcW w:w="907" w:type="dxa"/>
            <w:vAlign w:val="center"/>
          </w:tcPr>
          <w:p w:rsidR="0006782D" w:rsidRDefault="0006782D">
            <w:pPr>
              <w:pStyle w:val="ConsPlusNormal"/>
              <w:jc w:val="center"/>
            </w:pPr>
            <w:r>
              <w:t>8.2.1.</w:t>
            </w:r>
          </w:p>
        </w:tc>
        <w:tc>
          <w:tcPr>
            <w:tcW w:w="8108" w:type="dxa"/>
            <w:gridSpan w:val="3"/>
            <w:vAlign w:val="center"/>
          </w:tcPr>
          <w:p w:rsidR="0006782D" w:rsidRDefault="0006782D">
            <w:pPr>
              <w:pStyle w:val="ConsPlusNormal"/>
            </w:pPr>
            <w:r>
              <w:t>Стальные газопроводы, в том числе по диаметрам строящихся (реконструируемых) газопроводов:</w:t>
            </w:r>
          </w:p>
        </w:tc>
      </w:tr>
      <w:tr w:rsidR="0006782D" w:rsidTr="0006782D">
        <w:trPr>
          <w:jc w:val="center"/>
        </w:trPr>
        <w:tc>
          <w:tcPr>
            <w:tcW w:w="907" w:type="dxa"/>
            <w:vAlign w:val="center"/>
          </w:tcPr>
          <w:p w:rsidR="0006782D" w:rsidRDefault="0006782D">
            <w:pPr>
              <w:pStyle w:val="ConsPlusNormal"/>
              <w:jc w:val="center"/>
            </w:pPr>
            <w:r>
              <w:t>8.2.1.1.</w:t>
            </w:r>
          </w:p>
        </w:tc>
        <w:tc>
          <w:tcPr>
            <w:tcW w:w="5046" w:type="dxa"/>
            <w:vAlign w:val="center"/>
          </w:tcPr>
          <w:p w:rsidR="0006782D" w:rsidRDefault="0006782D">
            <w:pPr>
              <w:pStyle w:val="ConsPlusNormal"/>
            </w:pPr>
            <w:r>
              <w:t>158 мм и менее</w:t>
            </w:r>
          </w:p>
        </w:tc>
        <w:tc>
          <w:tcPr>
            <w:tcW w:w="1701" w:type="dxa"/>
            <w:vMerge w:val="restart"/>
            <w:vAlign w:val="center"/>
          </w:tcPr>
          <w:p w:rsidR="0006782D" w:rsidRDefault="0006782D">
            <w:pPr>
              <w:pStyle w:val="ConsPlusNormal"/>
              <w:jc w:val="center"/>
            </w:pPr>
            <w:r>
              <w:t>рублей за 1 присоединение</w:t>
            </w:r>
          </w:p>
        </w:tc>
        <w:tc>
          <w:tcPr>
            <w:tcW w:w="1361" w:type="dxa"/>
            <w:vAlign w:val="center"/>
          </w:tcPr>
          <w:p w:rsidR="0006782D" w:rsidRDefault="0006782D">
            <w:pPr>
              <w:pStyle w:val="ConsPlusNormal"/>
              <w:jc w:val="center"/>
            </w:pPr>
            <w:r>
              <w:t>8894</w:t>
            </w:r>
          </w:p>
        </w:tc>
      </w:tr>
      <w:tr w:rsidR="0006782D" w:rsidTr="0006782D">
        <w:trPr>
          <w:jc w:val="center"/>
        </w:trPr>
        <w:tc>
          <w:tcPr>
            <w:tcW w:w="907" w:type="dxa"/>
            <w:vAlign w:val="center"/>
          </w:tcPr>
          <w:p w:rsidR="0006782D" w:rsidRDefault="0006782D">
            <w:pPr>
              <w:pStyle w:val="ConsPlusNormal"/>
              <w:jc w:val="center"/>
            </w:pPr>
            <w:r>
              <w:t>8.2.1.2.</w:t>
            </w:r>
          </w:p>
        </w:tc>
        <w:tc>
          <w:tcPr>
            <w:tcW w:w="5046" w:type="dxa"/>
            <w:vAlign w:val="center"/>
          </w:tcPr>
          <w:p w:rsidR="0006782D" w:rsidRDefault="0006782D">
            <w:pPr>
              <w:pStyle w:val="ConsPlusNormal"/>
            </w:pPr>
            <w:r>
              <w:t>159 - 218 мм</w:t>
            </w:r>
          </w:p>
        </w:tc>
        <w:tc>
          <w:tcPr>
            <w:tcW w:w="1701" w:type="dxa"/>
            <w:vMerge/>
          </w:tcPr>
          <w:p w:rsidR="0006782D" w:rsidRDefault="0006782D"/>
        </w:tc>
        <w:tc>
          <w:tcPr>
            <w:tcW w:w="1361" w:type="dxa"/>
            <w:vAlign w:val="center"/>
          </w:tcPr>
          <w:p w:rsidR="0006782D" w:rsidRDefault="0006782D">
            <w:pPr>
              <w:pStyle w:val="ConsPlusNormal"/>
              <w:jc w:val="center"/>
            </w:pPr>
            <w:r>
              <w:t>9664</w:t>
            </w:r>
          </w:p>
        </w:tc>
      </w:tr>
      <w:tr w:rsidR="0006782D" w:rsidTr="0006782D">
        <w:trPr>
          <w:jc w:val="center"/>
        </w:trPr>
        <w:tc>
          <w:tcPr>
            <w:tcW w:w="907" w:type="dxa"/>
            <w:vAlign w:val="center"/>
          </w:tcPr>
          <w:p w:rsidR="0006782D" w:rsidRDefault="0006782D">
            <w:pPr>
              <w:pStyle w:val="ConsPlusNormal"/>
              <w:jc w:val="center"/>
            </w:pPr>
            <w:r>
              <w:t>8.2.1.3.</w:t>
            </w:r>
          </w:p>
        </w:tc>
        <w:tc>
          <w:tcPr>
            <w:tcW w:w="5046" w:type="dxa"/>
            <w:vAlign w:val="center"/>
          </w:tcPr>
          <w:p w:rsidR="0006782D" w:rsidRDefault="0006782D">
            <w:pPr>
              <w:pStyle w:val="ConsPlusNormal"/>
            </w:pPr>
            <w:r>
              <w:t>219 - 272 мм</w:t>
            </w:r>
          </w:p>
        </w:tc>
        <w:tc>
          <w:tcPr>
            <w:tcW w:w="1701" w:type="dxa"/>
            <w:vMerge/>
          </w:tcPr>
          <w:p w:rsidR="0006782D" w:rsidRDefault="0006782D"/>
        </w:tc>
        <w:tc>
          <w:tcPr>
            <w:tcW w:w="1361" w:type="dxa"/>
            <w:vAlign w:val="center"/>
          </w:tcPr>
          <w:p w:rsidR="0006782D" w:rsidRDefault="0006782D">
            <w:pPr>
              <w:pStyle w:val="ConsPlusNormal"/>
              <w:jc w:val="center"/>
            </w:pPr>
            <w:r>
              <w:t>9664</w:t>
            </w:r>
          </w:p>
        </w:tc>
      </w:tr>
      <w:tr w:rsidR="0006782D" w:rsidTr="0006782D">
        <w:trPr>
          <w:jc w:val="center"/>
        </w:trPr>
        <w:tc>
          <w:tcPr>
            <w:tcW w:w="907" w:type="dxa"/>
            <w:vAlign w:val="center"/>
          </w:tcPr>
          <w:p w:rsidR="0006782D" w:rsidRDefault="0006782D">
            <w:pPr>
              <w:pStyle w:val="ConsPlusNormal"/>
              <w:jc w:val="center"/>
            </w:pPr>
            <w:r>
              <w:t>8.2.1.4.</w:t>
            </w:r>
          </w:p>
        </w:tc>
        <w:tc>
          <w:tcPr>
            <w:tcW w:w="5046" w:type="dxa"/>
            <w:vAlign w:val="center"/>
          </w:tcPr>
          <w:p w:rsidR="0006782D" w:rsidRDefault="0006782D">
            <w:pPr>
              <w:pStyle w:val="ConsPlusNormal"/>
            </w:pPr>
            <w:r>
              <w:t>273 - 324 мм</w:t>
            </w:r>
          </w:p>
        </w:tc>
        <w:tc>
          <w:tcPr>
            <w:tcW w:w="1701" w:type="dxa"/>
            <w:vMerge/>
          </w:tcPr>
          <w:p w:rsidR="0006782D" w:rsidRDefault="0006782D"/>
        </w:tc>
        <w:tc>
          <w:tcPr>
            <w:tcW w:w="1361" w:type="dxa"/>
            <w:vAlign w:val="center"/>
          </w:tcPr>
          <w:p w:rsidR="0006782D" w:rsidRDefault="0006782D">
            <w:pPr>
              <w:pStyle w:val="ConsPlusNormal"/>
              <w:jc w:val="center"/>
            </w:pPr>
            <w:r>
              <w:t>10626</w:t>
            </w:r>
          </w:p>
        </w:tc>
      </w:tr>
      <w:tr w:rsidR="0006782D" w:rsidTr="0006782D">
        <w:trPr>
          <w:jc w:val="center"/>
        </w:trPr>
        <w:tc>
          <w:tcPr>
            <w:tcW w:w="907" w:type="dxa"/>
            <w:vAlign w:val="center"/>
          </w:tcPr>
          <w:p w:rsidR="0006782D" w:rsidRDefault="0006782D">
            <w:pPr>
              <w:pStyle w:val="ConsPlusNormal"/>
              <w:jc w:val="center"/>
            </w:pPr>
            <w:r>
              <w:t>8.2.1.5.</w:t>
            </w:r>
          </w:p>
        </w:tc>
        <w:tc>
          <w:tcPr>
            <w:tcW w:w="5046" w:type="dxa"/>
            <w:vAlign w:val="center"/>
          </w:tcPr>
          <w:p w:rsidR="0006782D" w:rsidRDefault="0006782D">
            <w:pPr>
              <w:pStyle w:val="ConsPlusNormal"/>
            </w:pPr>
            <w:r>
              <w:t>325 - 425 мм</w:t>
            </w:r>
          </w:p>
        </w:tc>
        <w:tc>
          <w:tcPr>
            <w:tcW w:w="1701" w:type="dxa"/>
            <w:vMerge/>
          </w:tcPr>
          <w:p w:rsidR="0006782D" w:rsidRDefault="0006782D"/>
        </w:tc>
        <w:tc>
          <w:tcPr>
            <w:tcW w:w="1361" w:type="dxa"/>
            <w:vAlign w:val="center"/>
          </w:tcPr>
          <w:p w:rsidR="0006782D" w:rsidRDefault="0006782D">
            <w:pPr>
              <w:pStyle w:val="ConsPlusNormal"/>
              <w:jc w:val="center"/>
            </w:pPr>
            <w:r>
              <w:t>14502</w:t>
            </w:r>
          </w:p>
        </w:tc>
      </w:tr>
      <w:tr w:rsidR="0006782D" w:rsidTr="0006782D">
        <w:trPr>
          <w:jc w:val="center"/>
        </w:trPr>
        <w:tc>
          <w:tcPr>
            <w:tcW w:w="907" w:type="dxa"/>
            <w:vAlign w:val="center"/>
          </w:tcPr>
          <w:p w:rsidR="0006782D" w:rsidRDefault="0006782D">
            <w:pPr>
              <w:pStyle w:val="ConsPlusNormal"/>
              <w:jc w:val="center"/>
            </w:pPr>
            <w:r>
              <w:t>8.2.1.6.</w:t>
            </w:r>
          </w:p>
        </w:tc>
        <w:tc>
          <w:tcPr>
            <w:tcW w:w="5046" w:type="dxa"/>
            <w:vAlign w:val="center"/>
          </w:tcPr>
          <w:p w:rsidR="0006782D" w:rsidRDefault="0006782D">
            <w:pPr>
              <w:pStyle w:val="ConsPlusNormal"/>
            </w:pPr>
            <w:r>
              <w:t>426 - 529 мм</w:t>
            </w:r>
          </w:p>
        </w:tc>
        <w:tc>
          <w:tcPr>
            <w:tcW w:w="1701" w:type="dxa"/>
            <w:vMerge/>
          </w:tcPr>
          <w:p w:rsidR="0006782D" w:rsidRDefault="0006782D"/>
        </w:tc>
        <w:tc>
          <w:tcPr>
            <w:tcW w:w="1361" w:type="dxa"/>
            <w:vAlign w:val="center"/>
          </w:tcPr>
          <w:p w:rsidR="0006782D" w:rsidRDefault="0006782D">
            <w:pPr>
              <w:pStyle w:val="ConsPlusNormal"/>
              <w:jc w:val="center"/>
            </w:pPr>
            <w:r>
              <w:t>14502</w:t>
            </w:r>
          </w:p>
        </w:tc>
      </w:tr>
      <w:tr w:rsidR="0006782D" w:rsidTr="0006782D">
        <w:trPr>
          <w:jc w:val="center"/>
        </w:trPr>
        <w:tc>
          <w:tcPr>
            <w:tcW w:w="907" w:type="dxa"/>
            <w:vAlign w:val="center"/>
          </w:tcPr>
          <w:p w:rsidR="0006782D" w:rsidRDefault="0006782D">
            <w:pPr>
              <w:pStyle w:val="ConsPlusNormal"/>
              <w:jc w:val="center"/>
            </w:pPr>
            <w:r>
              <w:t>8.2.1.7.</w:t>
            </w:r>
          </w:p>
        </w:tc>
        <w:tc>
          <w:tcPr>
            <w:tcW w:w="5046" w:type="dxa"/>
            <w:vAlign w:val="center"/>
          </w:tcPr>
          <w:p w:rsidR="0006782D" w:rsidRDefault="0006782D">
            <w:pPr>
              <w:pStyle w:val="ConsPlusNormal"/>
            </w:pPr>
            <w:r>
              <w:t>530 мм и выше</w:t>
            </w:r>
          </w:p>
        </w:tc>
        <w:tc>
          <w:tcPr>
            <w:tcW w:w="1701" w:type="dxa"/>
            <w:vMerge/>
          </w:tcPr>
          <w:p w:rsidR="0006782D" w:rsidRDefault="0006782D"/>
        </w:tc>
        <w:tc>
          <w:tcPr>
            <w:tcW w:w="1361" w:type="dxa"/>
            <w:vAlign w:val="center"/>
          </w:tcPr>
          <w:p w:rsidR="0006782D" w:rsidRDefault="0006782D">
            <w:pPr>
              <w:pStyle w:val="ConsPlusNormal"/>
              <w:jc w:val="center"/>
            </w:pPr>
            <w:r>
              <w:t>16673</w:t>
            </w:r>
          </w:p>
        </w:tc>
      </w:tr>
      <w:tr w:rsidR="0006782D" w:rsidTr="0006782D">
        <w:trPr>
          <w:jc w:val="center"/>
        </w:trPr>
        <w:tc>
          <w:tcPr>
            <w:tcW w:w="907" w:type="dxa"/>
            <w:vAlign w:val="center"/>
          </w:tcPr>
          <w:p w:rsidR="0006782D" w:rsidRDefault="0006782D">
            <w:pPr>
              <w:pStyle w:val="ConsPlusNormal"/>
              <w:jc w:val="center"/>
            </w:pPr>
            <w:r>
              <w:t>8.2.2.</w:t>
            </w:r>
          </w:p>
        </w:tc>
        <w:tc>
          <w:tcPr>
            <w:tcW w:w="8108" w:type="dxa"/>
            <w:gridSpan w:val="3"/>
            <w:vAlign w:val="center"/>
          </w:tcPr>
          <w:p w:rsidR="0006782D" w:rsidRDefault="0006782D">
            <w:pPr>
              <w:pStyle w:val="ConsPlusNormal"/>
            </w:pPr>
            <w:r>
              <w:t>Полиэтиленовые газопроводы, в том числе по диаметрам строящихся (реконструируемых) газопроводов:</w:t>
            </w:r>
          </w:p>
        </w:tc>
      </w:tr>
      <w:tr w:rsidR="0006782D" w:rsidTr="0006782D">
        <w:trPr>
          <w:jc w:val="center"/>
        </w:trPr>
        <w:tc>
          <w:tcPr>
            <w:tcW w:w="907" w:type="dxa"/>
            <w:vAlign w:val="center"/>
          </w:tcPr>
          <w:p w:rsidR="0006782D" w:rsidRDefault="0006782D">
            <w:pPr>
              <w:pStyle w:val="ConsPlusNormal"/>
              <w:jc w:val="center"/>
            </w:pPr>
            <w:r>
              <w:t>8.2.2.1.</w:t>
            </w:r>
          </w:p>
        </w:tc>
        <w:tc>
          <w:tcPr>
            <w:tcW w:w="5046" w:type="dxa"/>
            <w:vAlign w:val="center"/>
          </w:tcPr>
          <w:p w:rsidR="0006782D" w:rsidRDefault="0006782D">
            <w:pPr>
              <w:pStyle w:val="ConsPlusNormal"/>
            </w:pPr>
            <w:r>
              <w:t>109 мм и менее</w:t>
            </w:r>
          </w:p>
        </w:tc>
        <w:tc>
          <w:tcPr>
            <w:tcW w:w="1701" w:type="dxa"/>
            <w:vMerge w:val="restart"/>
            <w:vAlign w:val="center"/>
          </w:tcPr>
          <w:p w:rsidR="0006782D" w:rsidRDefault="0006782D">
            <w:pPr>
              <w:pStyle w:val="ConsPlusNormal"/>
              <w:jc w:val="center"/>
            </w:pPr>
            <w:r>
              <w:t>рублей за 1 присоединение</w:t>
            </w:r>
          </w:p>
        </w:tc>
        <w:tc>
          <w:tcPr>
            <w:tcW w:w="1361" w:type="dxa"/>
            <w:vAlign w:val="center"/>
          </w:tcPr>
          <w:p w:rsidR="0006782D" w:rsidRDefault="0006782D">
            <w:pPr>
              <w:pStyle w:val="ConsPlusNormal"/>
              <w:jc w:val="center"/>
            </w:pPr>
            <w:r>
              <w:t>11951</w:t>
            </w:r>
          </w:p>
        </w:tc>
      </w:tr>
      <w:tr w:rsidR="0006782D" w:rsidTr="0006782D">
        <w:trPr>
          <w:jc w:val="center"/>
        </w:trPr>
        <w:tc>
          <w:tcPr>
            <w:tcW w:w="907" w:type="dxa"/>
            <w:vAlign w:val="center"/>
          </w:tcPr>
          <w:p w:rsidR="0006782D" w:rsidRDefault="0006782D">
            <w:pPr>
              <w:pStyle w:val="ConsPlusNormal"/>
              <w:jc w:val="center"/>
            </w:pPr>
            <w:r>
              <w:t>8.2.2.2.</w:t>
            </w:r>
          </w:p>
        </w:tc>
        <w:tc>
          <w:tcPr>
            <w:tcW w:w="5046" w:type="dxa"/>
            <w:vAlign w:val="center"/>
          </w:tcPr>
          <w:p w:rsidR="0006782D" w:rsidRDefault="0006782D">
            <w:pPr>
              <w:pStyle w:val="ConsPlusNormal"/>
            </w:pPr>
            <w:r>
              <w:t>110 - 159 мм</w:t>
            </w:r>
          </w:p>
        </w:tc>
        <w:tc>
          <w:tcPr>
            <w:tcW w:w="1701" w:type="dxa"/>
            <w:vMerge/>
          </w:tcPr>
          <w:p w:rsidR="0006782D" w:rsidRDefault="0006782D"/>
        </w:tc>
        <w:tc>
          <w:tcPr>
            <w:tcW w:w="1361" w:type="dxa"/>
            <w:vAlign w:val="center"/>
          </w:tcPr>
          <w:p w:rsidR="0006782D" w:rsidRDefault="0006782D">
            <w:pPr>
              <w:pStyle w:val="ConsPlusNormal"/>
              <w:jc w:val="center"/>
            </w:pPr>
            <w:r>
              <w:t>12720</w:t>
            </w:r>
          </w:p>
        </w:tc>
      </w:tr>
      <w:tr w:rsidR="0006782D" w:rsidTr="0006782D">
        <w:trPr>
          <w:jc w:val="center"/>
        </w:trPr>
        <w:tc>
          <w:tcPr>
            <w:tcW w:w="907" w:type="dxa"/>
            <w:vAlign w:val="center"/>
          </w:tcPr>
          <w:p w:rsidR="0006782D" w:rsidRDefault="0006782D">
            <w:pPr>
              <w:pStyle w:val="ConsPlusNormal"/>
              <w:jc w:val="center"/>
            </w:pPr>
            <w:r>
              <w:t>8.2.2.3.</w:t>
            </w:r>
          </w:p>
        </w:tc>
        <w:tc>
          <w:tcPr>
            <w:tcW w:w="5046" w:type="dxa"/>
            <w:vAlign w:val="center"/>
          </w:tcPr>
          <w:p w:rsidR="0006782D" w:rsidRDefault="0006782D">
            <w:pPr>
              <w:pStyle w:val="ConsPlusNormal"/>
            </w:pPr>
            <w:r>
              <w:t>160 - 224 мм</w:t>
            </w:r>
          </w:p>
        </w:tc>
        <w:tc>
          <w:tcPr>
            <w:tcW w:w="1701" w:type="dxa"/>
            <w:vMerge/>
          </w:tcPr>
          <w:p w:rsidR="0006782D" w:rsidRDefault="0006782D"/>
        </w:tc>
        <w:tc>
          <w:tcPr>
            <w:tcW w:w="1361" w:type="dxa"/>
            <w:vAlign w:val="center"/>
          </w:tcPr>
          <w:p w:rsidR="0006782D" w:rsidRDefault="0006782D">
            <w:pPr>
              <w:pStyle w:val="ConsPlusNormal"/>
              <w:jc w:val="center"/>
            </w:pPr>
            <w:r>
              <w:t>12720</w:t>
            </w:r>
          </w:p>
        </w:tc>
      </w:tr>
      <w:tr w:rsidR="0006782D" w:rsidTr="0006782D">
        <w:trPr>
          <w:jc w:val="center"/>
        </w:trPr>
        <w:tc>
          <w:tcPr>
            <w:tcW w:w="907" w:type="dxa"/>
            <w:vAlign w:val="center"/>
          </w:tcPr>
          <w:p w:rsidR="0006782D" w:rsidRDefault="0006782D">
            <w:pPr>
              <w:pStyle w:val="ConsPlusNormal"/>
              <w:jc w:val="center"/>
            </w:pPr>
            <w:r>
              <w:t>8.2.2.4.</w:t>
            </w:r>
          </w:p>
        </w:tc>
        <w:tc>
          <w:tcPr>
            <w:tcW w:w="5046" w:type="dxa"/>
            <w:vAlign w:val="center"/>
          </w:tcPr>
          <w:p w:rsidR="0006782D" w:rsidRDefault="0006782D">
            <w:pPr>
              <w:pStyle w:val="ConsPlusNormal"/>
            </w:pPr>
            <w:r>
              <w:t>225 - 314 мм</w:t>
            </w:r>
          </w:p>
        </w:tc>
        <w:tc>
          <w:tcPr>
            <w:tcW w:w="1701" w:type="dxa"/>
            <w:vMerge/>
          </w:tcPr>
          <w:p w:rsidR="0006782D" w:rsidRDefault="0006782D"/>
        </w:tc>
        <w:tc>
          <w:tcPr>
            <w:tcW w:w="1361" w:type="dxa"/>
            <w:vAlign w:val="center"/>
          </w:tcPr>
          <w:p w:rsidR="0006782D" w:rsidRDefault="0006782D">
            <w:pPr>
              <w:pStyle w:val="ConsPlusNormal"/>
              <w:jc w:val="center"/>
            </w:pPr>
            <w:r>
              <w:t>13682</w:t>
            </w:r>
          </w:p>
        </w:tc>
      </w:tr>
      <w:tr w:rsidR="0006782D" w:rsidTr="0006782D">
        <w:trPr>
          <w:jc w:val="center"/>
        </w:trPr>
        <w:tc>
          <w:tcPr>
            <w:tcW w:w="907" w:type="dxa"/>
            <w:vAlign w:val="center"/>
          </w:tcPr>
          <w:p w:rsidR="0006782D" w:rsidRDefault="0006782D">
            <w:pPr>
              <w:pStyle w:val="ConsPlusNormal"/>
              <w:jc w:val="center"/>
            </w:pPr>
            <w:r>
              <w:t>8.2.2.5.</w:t>
            </w:r>
          </w:p>
        </w:tc>
        <w:tc>
          <w:tcPr>
            <w:tcW w:w="5046" w:type="dxa"/>
            <w:vAlign w:val="center"/>
          </w:tcPr>
          <w:p w:rsidR="0006782D" w:rsidRDefault="0006782D">
            <w:pPr>
              <w:pStyle w:val="ConsPlusNormal"/>
            </w:pPr>
            <w:r>
              <w:t>315 - 399 мм</w:t>
            </w:r>
          </w:p>
        </w:tc>
        <w:tc>
          <w:tcPr>
            <w:tcW w:w="1701" w:type="dxa"/>
            <w:vMerge/>
          </w:tcPr>
          <w:p w:rsidR="0006782D" w:rsidRDefault="0006782D"/>
        </w:tc>
        <w:tc>
          <w:tcPr>
            <w:tcW w:w="1361" w:type="dxa"/>
            <w:vAlign w:val="center"/>
          </w:tcPr>
          <w:p w:rsidR="0006782D" w:rsidRDefault="0006782D">
            <w:pPr>
              <w:pStyle w:val="ConsPlusNormal"/>
              <w:jc w:val="center"/>
            </w:pPr>
            <w:r>
              <w:t>17558</w:t>
            </w:r>
          </w:p>
        </w:tc>
      </w:tr>
      <w:tr w:rsidR="0006782D" w:rsidTr="0006782D">
        <w:trPr>
          <w:jc w:val="center"/>
        </w:trPr>
        <w:tc>
          <w:tcPr>
            <w:tcW w:w="907" w:type="dxa"/>
            <w:vAlign w:val="center"/>
          </w:tcPr>
          <w:p w:rsidR="0006782D" w:rsidRDefault="0006782D">
            <w:pPr>
              <w:pStyle w:val="ConsPlusNormal"/>
              <w:jc w:val="center"/>
            </w:pPr>
            <w:r>
              <w:t>8.2.2.6.</w:t>
            </w:r>
          </w:p>
        </w:tc>
        <w:tc>
          <w:tcPr>
            <w:tcW w:w="5046" w:type="dxa"/>
            <w:vAlign w:val="center"/>
          </w:tcPr>
          <w:p w:rsidR="0006782D" w:rsidRDefault="0006782D">
            <w:pPr>
              <w:pStyle w:val="ConsPlusNormal"/>
            </w:pPr>
            <w:r>
              <w:t>400 мм и выше</w:t>
            </w:r>
          </w:p>
        </w:tc>
        <w:tc>
          <w:tcPr>
            <w:tcW w:w="1701" w:type="dxa"/>
            <w:vMerge/>
          </w:tcPr>
          <w:p w:rsidR="0006782D" w:rsidRDefault="0006782D"/>
        </w:tc>
        <w:tc>
          <w:tcPr>
            <w:tcW w:w="1361" w:type="dxa"/>
            <w:vAlign w:val="center"/>
          </w:tcPr>
          <w:p w:rsidR="0006782D" w:rsidRDefault="0006782D">
            <w:pPr>
              <w:pStyle w:val="ConsPlusNormal"/>
              <w:jc w:val="center"/>
            </w:pPr>
            <w:r>
              <w:t>17558</w:t>
            </w:r>
          </w:p>
        </w:tc>
      </w:tr>
    </w:tbl>
    <w:p w:rsidR="0006782D" w:rsidRDefault="0006782D">
      <w:pPr>
        <w:pStyle w:val="ConsPlusNormal"/>
        <w:jc w:val="both"/>
      </w:pPr>
    </w:p>
    <w:p w:rsidR="0006782D" w:rsidRDefault="0006782D">
      <w:pPr>
        <w:pStyle w:val="ConsPlusNormal"/>
        <w:jc w:val="both"/>
      </w:pPr>
    </w:p>
    <w:p w:rsidR="0006782D" w:rsidRDefault="0006782D">
      <w:pPr>
        <w:pStyle w:val="ConsPlusNormal"/>
        <w:pBdr>
          <w:top w:val="single" w:sz="6" w:space="0" w:color="auto"/>
        </w:pBdr>
        <w:spacing w:before="100" w:after="100"/>
        <w:jc w:val="both"/>
        <w:rPr>
          <w:sz w:val="2"/>
          <w:szCs w:val="2"/>
        </w:rPr>
      </w:pPr>
    </w:p>
    <w:p w:rsidR="00E06405" w:rsidRDefault="00E06405"/>
    <w:sectPr w:rsidR="00E06405" w:rsidSect="0006782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2D"/>
    <w:rsid w:val="00043D48"/>
    <w:rsid w:val="0004548C"/>
    <w:rsid w:val="0006782D"/>
    <w:rsid w:val="00070F6A"/>
    <w:rsid w:val="00074AAE"/>
    <w:rsid w:val="000914D5"/>
    <w:rsid w:val="000D4029"/>
    <w:rsid w:val="00162CBA"/>
    <w:rsid w:val="001B05C2"/>
    <w:rsid w:val="001E6C77"/>
    <w:rsid w:val="002B3C8A"/>
    <w:rsid w:val="002F484F"/>
    <w:rsid w:val="0031734F"/>
    <w:rsid w:val="00344D26"/>
    <w:rsid w:val="00385F4F"/>
    <w:rsid w:val="003C2AA4"/>
    <w:rsid w:val="003E7B5F"/>
    <w:rsid w:val="004175A8"/>
    <w:rsid w:val="00425675"/>
    <w:rsid w:val="00471727"/>
    <w:rsid w:val="0048656C"/>
    <w:rsid w:val="004F0360"/>
    <w:rsid w:val="004F420A"/>
    <w:rsid w:val="005052B5"/>
    <w:rsid w:val="00505F8D"/>
    <w:rsid w:val="00555B15"/>
    <w:rsid w:val="00561AC0"/>
    <w:rsid w:val="005759DC"/>
    <w:rsid w:val="00577576"/>
    <w:rsid w:val="005846E4"/>
    <w:rsid w:val="00596F81"/>
    <w:rsid w:val="005F642C"/>
    <w:rsid w:val="00656B8E"/>
    <w:rsid w:val="006570D0"/>
    <w:rsid w:val="006A3126"/>
    <w:rsid w:val="007251F1"/>
    <w:rsid w:val="00726F15"/>
    <w:rsid w:val="00735866"/>
    <w:rsid w:val="00735BDB"/>
    <w:rsid w:val="007C75CE"/>
    <w:rsid w:val="007E18C3"/>
    <w:rsid w:val="007F3184"/>
    <w:rsid w:val="007F56C8"/>
    <w:rsid w:val="00800A23"/>
    <w:rsid w:val="008420CE"/>
    <w:rsid w:val="00860344"/>
    <w:rsid w:val="008F7067"/>
    <w:rsid w:val="00904EE9"/>
    <w:rsid w:val="00913C23"/>
    <w:rsid w:val="009335A0"/>
    <w:rsid w:val="009425F0"/>
    <w:rsid w:val="009865E8"/>
    <w:rsid w:val="009A54F7"/>
    <w:rsid w:val="009F1F37"/>
    <w:rsid w:val="009F3D45"/>
    <w:rsid w:val="00A46A08"/>
    <w:rsid w:val="00A64D56"/>
    <w:rsid w:val="00A869B9"/>
    <w:rsid w:val="00AA6E23"/>
    <w:rsid w:val="00AD390C"/>
    <w:rsid w:val="00B24CF0"/>
    <w:rsid w:val="00B27892"/>
    <w:rsid w:val="00B52EAB"/>
    <w:rsid w:val="00B72AD7"/>
    <w:rsid w:val="00BD6EE7"/>
    <w:rsid w:val="00C247F5"/>
    <w:rsid w:val="00C271EC"/>
    <w:rsid w:val="00C45CE1"/>
    <w:rsid w:val="00C96884"/>
    <w:rsid w:val="00D11FC0"/>
    <w:rsid w:val="00D37C7C"/>
    <w:rsid w:val="00D477CD"/>
    <w:rsid w:val="00D666DD"/>
    <w:rsid w:val="00DB4CBD"/>
    <w:rsid w:val="00E06405"/>
    <w:rsid w:val="00E23327"/>
    <w:rsid w:val="00E7132C"/>
    <w:rsid w:val="00E77AF3"/>
    <w:rsid w:val="00E81355"/>
    <w:rsid w:val="00E81A80"/>
    <w:rsid w:val="00F41225"/>
    <w:rsid w:val="00F45B77"/>
    <w:rsid w:val="00F649D8"/>
    <w:rsid w:val="00F92DA4"/>
    <w:rsid w:val="00FB14FF"/>
    <w:rsid w:val="00FB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8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7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78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B6413BB5DE9C0027D561A53AE4D7DF9A7A5D55FD1DA33CEBF820AE1C0C2F0A30BBCB5I1mCI" TargetMode="External"/><Relationship Id="rId13" Type="http://schemas.openxmlformats.org/officeDocument/2006/relationships/hyperlink" Target="consultantplus://offline/ref=E2DB6413BB5DE9C0027D481745C21072FAA5F3DA5AD6D66790E0D957B6C9C8A7IEm4I" TargetMode="External"/><Relationship Id="rId18" Type="http://schemas.openxmlformats.org/officeDocument/2006/relationships/hyperlink" Target="consultantplus://offline/ref=E2DB6413BB5DE9C0027D481745C21072FAA5F3DA5BD3D4659BE0D957B6C9C8A7E444E5F05D703BA02638B3ICm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2DB6413BB5DE9C0027D481745C21072FAA5F3DA5BD3D4659BE0D957B6C9C8A7E444E5F05D703BA02638B3ICmFI" TargetMode="External"/><Relationship Id="rId7" Type="http://schemas.openxmlformats.org/officeDocument/2006/relationships/hyperlink" Target="consultantplus://offline/ref=E2DB6413BB5DE9C0027D561A53AE4D7DFAAEADDF58D1DA33CEBF820AE1C0C2F0A30BBCB7I1mBI" TargetMode="External"/><Relationship Id="rId12" Type="http://schemas.openxmlformats.org/officeDocument/2006/relationships/hyperlink" Target="consultantplus://offline/ref=E2DB6413BB5DE9C0027D481745C21072FAA5F3DA5BD3D4659BE0D957B6C9C8A7E444E5F05D703BA02638B3ICmFI" TargetMode="External"/><Relationship Id="rId17" Type="http://schemas.openxmlformats.org/officeDocument/2006/relationships/hyperlink" Target="consultantplus://offline/ref=E2DB6413BB5DE9C0027D481745C21072FAA5F3DA5BD3D4659BE0D957B6C9C8A7E444E5F05D703BA02638B3ICmF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2DB6413BB5DE9C0027D481745C21072FAA5F3DA5BD3D4659BE0D957B6C9C8A7E444E5F05D703BA02638B3ICmFI" TargetMode="External"/><Relationship Id="rId20" Type="http://schemas.openxmlformats.org/officeDocument/2006/relationships/hyperlink" Target="consultantplus://offline/ref=E2DB6413BB5DE9C0027D481745C21072FAA5F3DA5BD3D4659BE0D957B6C9C8A7E444E5F05D703BA02638B3ICmFI" TargetMode="External"/><Relationship Id="rId1" Type="http://schemas.openxmlformats.org/officeDocument/2006/relationships/styles" Target="styles.xml"/><Relationship Id="rId6" Type="http://schemas.openxmlformats.org/officeDocument/2006/relationships/hyperlink" Target="consultantplus://offline/ref=E2DB6413BB5DE9C0027D481745C21072FAA5F3DA5BD3D4659BE0D957B6C9C8A7E444E5F05D703BA02638B2ICmAI" TargetMode="External"/><Relationship Id="rId11" Type="http://schemas.openxmlformats.org/officeDocument/2006/relationships/hyperlink" Target="consultantplus://offline/ref=E2DB6413BB5DE9C0027D481745C21072FAA5F3DA5BD3D4659BE0D957B6C9C8A7E444E5F05D703BA02638B2ICm7I" TargetMode="External"/><Relationship Id="rId24" Type="http://schemas.openxmlformats.org/officeDocument/2006/relationships/hyperlink" Target="consultantplus://offline/ref=E2DB6413BB5DE9C0027D481745C21072FAA5F3DA5BD3D4659BE0D957B6C9C8A7E444E5F05D703BA02638B3ICm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2DB6413BB5DE9C0027D481745C21072FAA5F3DA5BD3D4659BE0D957B6C9C8A7E444E5F05D703BA02638B3ICmFI" TargetMode="External"/><Relationship Id="rId23" Type="http://schemas.openxmlformats.org/officeDocument/2006/relationships/hyperlink" Target="consultantplus://offline/ref=E2DB6413BB5DE9C0027D481745C21072FAA5F3DA5BD3D4659BE0D957B6C9C8A7E444E5F05D703BA02638B3ICmFI" TargetMode="External"/><Relationship Id="rId10" Type="http://schemas.openxmlformats.org/officeDocument/2006/relationships/hyperlink" Target="consultantplus://offline/ref=E2DB6413BB5DE9C0027D481745C21072FAA5F3DA5ADBD46C92E0D957B6C9C8A7E444E5F05D703BA0263CBBICm8I" TargetMode="External"/><Relationship Id="rId19" Type="http://schemas.openxmlformats.org/officeDocument/2006/relationships/hyperlink" Target="consultantplus://offline/ref=E2DB6413BB5DE9C0027D481745C21072FAA5F3DA5BD3D4659BE0D957B6C9C8A7E444E5F05D703BA02638B3ICmFI" TargetMode="External"/><Relationship Id="rId4" Type="http://schemas.openxmlformats.org/officeDocument/2006/relationships/webSettings" Target="webSettings.xml"/><Relationship Id="rId9" Type="http://schemas.openxmlformats.org/officeDocument/2006/relationships/hyperlink" Target="consultantplus://offline/ref=E2DB6413BB5DE9C0027D561A53AE4D7DFAAEAAD45FD6DA33CEBF820AE1C0C2F0A30BBCB2197D38A0I2mFI" TargetMode="External"/><Relationship Id="rId14" Type="http://schemas.openxmlformats.org/officeDocument/2006/relationships/hyperlink" Target="consultantplus://offline/ref=E2DB6413BB5DE9C0027D481745C21072FAA5F3DA5AD6D76291E0D957B6C9C8A7IEm4I" TargetMode="External"/><Relationship Id="rId22" Type="http://schemas.openxmlformats.org/officeDocument/2006/relationships/hyperlink" Target="consultantplus://offline/ref=E2DB6413BB5DE9C0027D481745C21072FAA5F3DA5BD3D4659BE0D957B6C9C8A7E444E5F05D703BA02638B3IC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Комиссаренко Олег Владимирови</dc:creator>
  <cp:lastModifiedBy>Комиссаренко Олег Владимирови</cp:lastModifiedBy>
  <cp:revision>1</cp:revision>
  <dcterms:created xsi:type="dcterms:W3CDTF">2017-03-10T08:38:00Z</dcterms:created>
  <dcterms:modified xsi:type="dcterms:W3CDTF">2017-03-10T08:40:00Z</dcterms:modified>
</cp:coreProperties>
</file>